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D7A9A" w14:textId="77777777" w:rsidR="00BB183F" w:rsidRPr="00C5440D" w:rsidRDefault="00BB183F" w:rsidP="00BB183F">
      <w:pPr>
        <w:rPr>
          <w:rStyle w:val="ae"/>
        </w:rPr>
      </w:pP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1984"/>
        <w:gridCol w:w="6093"/>
      </w:tblGrid>
      <w:tr w:rsidR="00BB183F" w14:paraId="636AF00C" w14:textId="77777777" w:rsidTr="00BB183F">
        <w:trPr>
          <w:jc w:val="center"/>
        </w:trPr>
        <w:tc>
          <w:tcPr>
            <w:tcW w:w="743" w:type="dxa"/>
            <w:hideMark/>
          </w:tcPr>
          <w:p w14:paraId="6FF564A5" w14:textId="77777777" w:rsidR="00BB183F" w:rsidRDefault="00BB183F">
            <w:pPr>
              <w:jc w:val="both"/>
              <w:rPr>
                <w:rFonts w:ascii="Arial" w:hAnsi="Arial"/>
                <w:b/>
                <w:bCs/>
              </w:rPr>
            </w:pPr>
            <w:r>
              <w:rPr>
                <w:rFonts w:ascii="Arial" w:hAnsi="Arial"/>
                <w:b/>
                <w:bCs/>
                <w:rtl/>
              </w:rPr>
              <w:t xml:space="preserve">בפני </w:t>
            </w:r>
          </w:p>
        </w:tc>
        <w:tc>
          <w:tcPr>
            <w:tcW w:w="8077" w:type="dxa"/>
            <w:gridSpan w:val="2"/>
          </w:tcPr>
          <w:p w14:paraId="34231424" w14:textId="77777777" w:rsidR="00BB183F" w:rsidRPr="00BB183F" w:rsidRDefault="00BB183F">
            <w:pPr>
              <w:rPr>
                <w:rFonts w:ascii="Arial" w:hAnsi="Arial"/>
                <w:b/>
                <w:bCs/>
                <w:rtl/>
              </w:rPr>
            </w:pPr>
            <w:r w:rsidRPr="00BB183F">
              <w:rPr>
                <w:rFonts w:ascii="Arial" w:hAnsi="Arial"/>
                <w:b/>
                <w:bCs/>
                <w:rtl/>
              </w:rPr>
              <w:t>כב' ה</w:t>
            </w:r>
            <w:sdt>
              <w:sdtPr>
                <w:rPr>
                  <w:b/>
                  <w:bCs/>
                  <w:rtl/>
                </w:rPr>
                <w:alias w:val="1574"/>
                <w:tag w:val="1574"/>
                <w:id w:val="490379987"/>
                <w:text w:multiLine="1"/>
              </w:sdtPr>
              <w:sdtEndPr/>
              <w:sdtContent>
                <w:r w:rsidRPr="00BB183F">
                  <w:rPr>
                    <w:b/>
                    <w:bCs/>
                    <w:rtl/>
                  </w:rPr>
                  <w:t>שופט</w:t>
                </w:r>
              </w:sdtContent>
            </w:sdt>
            <w:r w:rsidRPr="00BB183F">
              <w:rPr>
                <w:rFonts w:ascii="Arial" w:hAnsi="Arial"/>
                <w:b/>
                <w:bCs/>
                <w:rtl/>
              </w:rPr>
              <w:t xml:space="preserve">  </w:t>
            </w:r>
            <w:sdt>
              <w:sdtPr>
                <w:rPr>
                  <w:b/>
                  <w:bCs/>
                  <w:rtl/>
                </w:rPr>
                <w:alias w:val="1573"/>
                <w:tag w:val="1573"/>
                <w:id w:val="-180202431"/>
                <w:text w:multiLine="1"/>
              </w:sdtPr>
              <w:sdtEndPr/>
              <w:sdtContent>
                <w:r w:rsidRPr="00BB183F">
                  <w:rPr>
                    <w:b/>
                    <w:bCs/>
                    <w:rtl/>
                  </w:rPr>
                  <w:t>אביגדור דורות</w:t>
                </w:r>
              </w:sdtContent>
            </w:sdt>
          </w:p>
          <w:p w14:paraId="40C868D8" w14:textId="77777777" w:rsidR="00BB183F" w:rsidRDefault="00BB183F">
            <w:pPr>
              <w:rPr>
                <w:rFonts w:ascii="Arial" w:hAnsi="Arial" w:cs="FrankRuehl"/>
                <w:sz w:val="28"/>
                <w:szCs w:val="28"/>
                <w:highlight w:val="yellow"/>
              </w:rPr>
            </w:pPr>
          </w:p>
        </w:tc>
      </w:tr>
      <w:tr w:rsidR="00BB183F" w14:paraId="19FA5E72" w14:textId="77777777" w:rsidTr="001B51E5">
        <w:trPr>
          <w:jc w:val="center"/>
        </w:trPr>
        <w:tc>
          <w:tcPr>
            <w:tcW w:w="2727" w:type="dxa"/>
            <w:gridSpan w:val="2"/>
          </w:tcPr>
          <w:p w14:paraId="1887E470" w14:textId="77777777" w:rsidR="00BB183F" w:rsidRDefault="00BB183F">
            <w:pPr>
              <w:bidi w:val="0"/>
              <w:jc w:val="right"/>
              <w:rPr>
                <w:rFonts w:ascii="Arial" w:hAnsi="Arial"/>
                <w:b/>
                <w:bCs/>
                <w:noProof w:val="0"/>
                <w:sz w:val="26"/>
                <w:szCs w:val="26"/>
                <w:rtl/>
              </w:rPr>
            </w:pPr>
          </w:p>
          <w:sdt>
            <w:sdtPr>
              <w:rPr>
                <w:b/>
                <w:bCs/>
              </w:rPr>
              <w:alias w:val="1180"/>
              <w:tag w:val="1180"/>
              <w:id w:val="-1095320858"/>
              <w:text w:multiLine="1"/>
            </w:sdtPr>
            <w:sdtEndPr/>
            <w:sdtContent>
              <w:p w14:paraId="30535BA1" w14:textId="77777777" w:rsidR="00BB183F" w:rsidRDefault="00BB183F" w:rsidP="00BB183F">
                <w:pPr>
                  <w:bidi w:val="0"/>
                  <w:jc w:val="right"/>
                  <w:rPr>
                    <w:rFonts w:ascii="Arial" w:hAnsi="Arial"/>
                    <w:b/>
                    <w:bCs/>
                    <w:noProof w:val="0"/>
                    <w:sz w:val="26"/>
                    <w:szCs w:val="26"/>
                  </w:rPr>
                </w:pPr>
                <w:r w:rsidRPr="001B51E5">
                  <w:rPr>
                    <w:b/>
                    <w:bCs/>
                    <w:rtl/>
                  </w:rPr>
                  <w:t>המערערים:</w:t>
                </w:r>
              </w:p>
            </w:sdtContent>
          </w:sdt>
        </w:tc>
        <w:tc>
          <w:tcPr>
            <w:tcW w:w="6093" w:type="dxa"/>
          </w:tcPr>
          <w:p w14:paraId="08EEF925" w14:textId="77777777" w:rsidR="00BB183F" w:rsidRDefault="00BB183F">
            <w:pPr>
              <w:rPr>
                <w:rFonts w:ascii="Arial" w:hAnsi="Arial"/>
                <w:b/>
                <w:bCs/>
                <w:noProof w:val="0"/>
                <w:sz w:val="26"/>
                <w:szCs w:val="26"/>
              </w:rPr>
            </w:pPr>
          </w:p>
          <w:p w14:paraId="52D8C91F" w14:textId="77777777" w:rsidR="00BB183F" w:rsidRDefault="00C5440D">
            <w:pPr>
              <w:rPr>
                <w:b/>
                <w:bCs/>
                <w:noProof w:val="0"/>
                <w:sz w:val="26"/>
                <w:szCs w:val="26"/>
                <w:rtl/>
              </w:rPr>
            </w:pPr>
            <w:sdt>
              <w:sdtPr>
                <w:rPr>
                  <w:rFonts w:ascii="Arial" w:hAnsi="Arial"/>
                  <w:b/>
                  <w:bCs/>
                  <w:noProof w:val="0"/>
                  <w:sz w:val="26"/>
                  <w:szCs w:val="26"/>
                  <w:rtl/>
                </w:rPr>
                <w:alias w:val="1478"/>
                <w:tag w:val="1478"/>
                <w:id w:val="406741000"/>
                <w:text w:multiLine="1"/>
              </w:sdtPr>
              <w:sdtEndPr/>
              <w:sdtContent>
                <w:r w:rsidR="00BB183F">
                  <w:rPr>
                    <w:rFonts w:ascii="Arial" w:hAnsi="Arial"/>
                    <w:b/>
                    <w:bCs/>
                    <w:noProof w:val="0"/>
                    <w:sz w:val="26"/>
                    <w:szCs w:val="26"/>
                    <w:rtl/>
                  </w:rPr>
                  <w:t xml:space="preserve">1. עזבון המנוח יעקב ידיד ז"ל </w:t>
                </w:r>
              </w:sdtContent>
            </w:sdt>
          </w:p>
          <w:p w14:paraId="61A88B71" w14:textId="77777777" w:rsidR="00BB183F" w:rsidRDefault="00C5440D">
            <w:pPr>
              <w:rPr>
                <w:b/>
                <w:bCs/>
                <w:noProof w:val="0"/>
                <w:sz w:val="26"/>
                <w:szCs w:val="26"/>
              </w:rPr>
            </w:pPr>
            <w:sdt>
              <w:sdtPr>
                <w:rPr>
                  <w:rFonts w:ascii="David" w:hAnsi="David"/>
                  <w:b/>
                  <w:bCs/>
                  <w:rtl/>
                </w:rPr>
                <w:alias w:val="1478"/>
                <w:tag w:val="1478"/>
                <w:id w:val="2117634708"/>
                <w:text w:multiLine="1"/>
              </w:sdtPr>
              <w:sdtEndPr/>
              <w:sdtContent>
                <w:r w:rsidR="00BB183F">
                  <w:rPr>
                    <w:rFonts w:ascii="David" w:hAnsi="David"/>
                    <w:b/>
                    <w:bCs/>
                    <w:rtl/>
                  </w:rPr>
                  <w:t>2. אליהו ידיד</w:t>
                </w:r>
              </w:sdtContent>
            </w:sdt>
          </w:p>
        </w:tc>
      </w:tr>
      <w:tr w:rsidR="00BB183F" w14:paraId="6F15C0F6" w14:textId="77777777" w:rsidTr="00BB183F">
        <w:trPr>
          <w:jc w:val="center"/>
        </w:trPr>
        <w:tc>
          <w:tcPr>
            <w:tcW w:w="8820" w:type="dxa"/>
            <w:gridSpan w:val="3"/>
          </w:tcPr>
          <w:p w14:paraId="35060093" w14:textId="77777777" w:rsidR="00BB183F" w:rsidRDefault="00BB183F">
            <w:pPr>
              <w:tabs>
                <w:tab w:val="left" w:pos="3549"/>
              </w:tabs>
              <w:rPr>
                <w:rFonts w:ascii="David" w:hAnsi="David"/>
              </w:rPr>
            </w:pPr>
            <w:r>
              <w:rPr>
                <w:rFonts w:ascii="Arial" w:hAnsi="Arial"/>
                <w:noProof w:val="0"/>
                <w:sz w:val="26"/>
                <w:szCs w:val="26"/>
                <w:rtl/>
              </w:rPr>
              <w:t xml:space="preserve">                 </w:t>
            </w:r>
            <w:r w:rsidR="001B51E5">
              <w:rPr>
                <w:rFonts w:ascii="Arial" w:hAnsi="Arial"/>
                <w:noProof w:val="0"/>
                <w:sz w:val="26"/>
                <w:szCs w:val="26"/>
                <w:rtl/>
              </w:rPr>
              <w:t xml:space="preserve">                      </w:t>
            </w:r>
            <w:r>
              <w:rPr>
                <w:rFonts w:ascii="Arial" w:hAnsi="Arial"/>
                <w:noProof w:val="0"/>
                <w:sz w:val="26"/>
                <w:szCs w:val="26"/>
                <w:rtl/>
              </w:rPr>
              <w:t xml:space="preserve">        </w:t>
            </w:r>
            <w:r>
              <w:rPr>
                <w:rFonts w:ascii="David" w:hAnsi="David"/>
                <w:rtl/>
              </w:rPr>
              <w:t>ע"י ב"כ עו"ד לירן זילברמן</w:t>
            </w:r>
          </w:p>
          <w:p w14:paraId="4250D3FB" w14:textId="77777777" w:rsidR="00BB183F" w:rsidRDefault="00BB183F">
            <w:pPr>
              <w:jc w:val="center"/>
              <w:rPr>
                <w:rFonts w:ascii="Arial" w:hAnsi="Arial"/>
                <w:b/>
                <w:bCs/>
                <w:noProof w:val="0"/>
                <w:sz w:val="26"/>
                <w:szCs w:val="26"/>
              </w:rPr>
            </w:pPr>
          </w:p>
          <w:p w14:paraId="31E11016" w14:textId="77777777" w:rsidR="00BB183F" w:rsidRDefault="00BB183F">
            <w:pPr>
              <w:jc w:val="center"/>
              <w:rPr>
                <w:rFonts w:ascii="Arial" w:hAnsi="Arial"/>
                <w:b/>
                <w:bCs/>
                <w:noProof w:val="0"/>
                <w:sz w:val="26"/>
                <w:szCs w:val="26"/>
                <w:rtl/>
              </w:rPr>
            </w:pPr>
            <w:r>
              <w:rPr>
                <w:rFonts w:ascii="Arial" w:hAnsi="Arial"/>
                <w:b/>
                <w:bCs/>
                <w:noProof w:val="0"/>
                <w:sz w:val="26"/>
                <w:szCs w:val="26"/>
                <w:rtl/>
              </w:rPr>
              <w:t>נגד</w:t>
            </w:r>
          </w:p>
          <w:p w14:paraId="2232F5E9" w14:textId="77777777" w:rsidR="00BB183F" w:rsidRDefault="00BB183F">
            <w:pPr>
              <w:jc w:val="center"/>
              <w:rPr>
                <w:rFonts w:ascii="Arial" w:hAnsi="Arial"/>
                <w:b/>
                <w:bCs/>
                <w:noProof w:val="0"/>
                <w:sz w:val="26"/>
                <w:szCs w:val="26"/>
                <w:rtl/>
              </w:rPr>
            </w:pPr>
          </w:p>
          <w:p w14:paraId="18109DED" w14:textId="77777777" w:rsidR="00BB183F" w:rsidRDefault="00C5440D" w:rsidP="001B51E5">
            <w:pPr>
              <w:rPr>
                <w:rFonts w:ascii="David" w:hAnsi="David"/>
                <w:b/>
                <w:bCs/>
                <w:rtl/>
              </w:rPr>
            </w:pPr>
            <w:sdt>
              <w:sdtPr>
                <w:rPr>
                  <w:b/>
                  <w:bCs/>
                  <w:rtl/>
                </w:rPr>
                <w:alias w:val="1184"/>
                <w:tag w:val="1184"/>
                <w:id w:val="-1990013329"/>
                <w:text w:multiLine="1"/>
              </w:sdtPr>
              <w:sdtEndPr/>
              <w:sdtContent>
                <w:r w:rsidR="00BB183F" w:rsidRPr="001B51E5">
                  <w:rPr>
                    <w:b/>
                    <w:bCs/>
                    <w:rtl/>
                  </w:rPr>
                  <w:t>המשיב:</w:t>
                </w:r>
              </w:sdtContent>
            </w:sdt>
            <w:r w:rsidR="00BB183F">
              <w:rPr>
                <w:rFonts w:ascii="David" w:hAnsi="David"/>
                <w:rtl/>
              </w:rPr>
              <w:t xml:space="preserve">                                      </w:t>
            </w:r>
            <w:r w:rsidR="00BB183F">
              <w:rPr>
                <w:rFonts w:ascii="David" w:hAnsi="David"/>
                <w:b/>
                <w:bCs/>
                <w:rtl/>
              </w:rPr>
              <w:t>פקיד שומה ירושלים</w:t>
            </w:r>
            <w:r w:rsidR="00E814B4">
              <w:rPr>
                <w:rFonts w:ascii="David" w:hAnsi="David" w:hint="cs"/>
                <w:b/>
                <w:bCs/>
                <w:rtl/>
              </w:rPr>
              <w:t xml:space="preserve"> 3</w:t>
            </w:r>
          </w:p>
          <w:p w14:paraId="50873C01" w14:textId="77777777" w:rsidR="00BB183F" w:rsidRDefault="00BB183F" w:rsidP="001B51E5">
            <w:pPr>
              <w:rPr>
                <w:rFonts w:ascii="David" w:hAnsi="David"/>
                <w:rtl/>
              </w:rPr>
            </w:pPr>
            <w:r>
              <w:rPr>
                <w:rFonts w:ascii="David" w:hAnsi="David"/>
                <w:rtl/>
              </w:rPr>
              <w:t xml:space="preserve">                                                    ע"י ב"כ עו"ד חגי דומברוביץ',</w:t>
            </w:r>
            <w:r>
              <w:rPr>
                <w:rFonts w:ascii="David" w:hAnsi="David"/>
                <w:rtl/>
              </w:rPr>
              <w:br/>
              <w:t xml:space="preserve">                                                 </w:t>
            </w:r>
            <w:r w:rsidR="001B51E5">
              <w:rPr>
                <w:rFonts w:ascii="David" w:hAnsi="David" w:hint="cs"/>
                <w:rtl/>
              </w:rPr>
              <w:t xml:space="preserve"> </w:t>
            </w:r>
            <w:r>
              <w:rPr>
                <w:rFonts w:ascii="David" w:hAnsi="David"/>
                <w:rtl/>
              </w:rPr>
              <w:t xml:space="preserve">  מפרקליטות מחוז ירושלים (אזרחי)</w:t>
            </w:r>
            <w:r>
              <w:rPr>
                <w:rFonts w:ascii="David" w:hAnsi="David"/>
                <w:rtl/>
              </w:rPr>
              <w:br/>
            </w:r>
          </w:p>
        </w:tc>
      </w:tr>
      <w:tr w:rsidR="00BB183F" w14:paraId="5947DA33" w14:textId="77777777" w:rsidTr="00BB183F">
        <w:trPr>
          <w:jc w:val="center"/>
        </w:trPr>
        <w:tc>
          <w:tcPr>
            <w:tcW w:w="8820" w:type="dxa"/>
            <w:gridSpan w:val="3"/>
          </w:tcPr>
          <w:p w14:paraId="30988BF6" w14:textId="77777777" w:rsidR="00BB183F" w:rsidRDefault="00BB183F">
            <w:pPr>
              <w:bidi w:val="0"/>
              <w:jc w:val="center"/>
              <w:rPr>
                <w:rFonts w:ascii="Arial" w:hAnsi="Arial"/>
                <w:b/>
                <w:bCs/>
                <w:noProof w:val="0"/>
                <w:u w:val="single"/>
                <w:rtl/>
              </w:rPr>
            </w:pPr>
          </w:p>
          <w:p w14:paraId="673E3A1A" w14:textId="77777777" w:rsidR="00BB183F" w:rsidRDefault="00BB183F">
            <w:pPr>
              <w:bidi w:val="0"/>
              <w:jc w:val="center"/>
              <w:rPr>
                <w:rFonts w:ascii="Arial" w:hAnsi="Arial"/>
                <w:b/>
                <w:bCs/>
                <w:noProof w:val="0"/>
                <w:u w:val="single"/>
              </w:rPr>
            </w:pPr>
            <w:r>
              <w:rPr>
                <w:rFonts w:ascii="Arial" w:hAnsi="Arial"/>
                <w:b/>
                <w:bCs/>
                <w:noProof w:val="0"/>
                <w:u w:val="single"/>
                <w:rtl/>
              </w:rPr>
              <w:t>פסק דין</w:t>
            </w:r>
          </w:p>
        </w:tc>
      </w:tr>
    </w:tbl>
    <w:p w14:paraId="348ABFCD" w14:textId="77777777" w:rsidR="00BB183F" w:rsidRDefault="00BB183F" w:rsidP="00BB183F">
      <w:pPr>
        <w:spacing w:line="360" w:lineRule="auto"/>
        <w:jc w:val="both"/>
        <w:rPr>
          <w:rFonts w:ascii="Arial" w:hAnsi="Arial"/>
          <w:noProof w:val="0"/>
          <w:rtl/>
        </w:rPr>
      </w:pPr>
    </w:p>
    <w:p w14:paraId="49ECFD2E" w14:textId="77777777" w:rsidR="00BB183F" w:rsidRDefault="00BB183F" w:rsidP="00BB183F">
      <w:pPr>
        <w:spacing w:line="360" w:lineRule="auto"/>
        <w:jc w:val="both"/>
        <w:rPr>
          <w:rFonts w:ascii="David" w:hAnsi="David"/>
          <w:rtl/>
        </w:rPr>
      </w:pPr>
      <w:r>
        <w:rPr>
          <w:rFonts w:ascii="David" w:hAnsi="David"/>
          <w:rtl/>
        </w:rPr>
        <w:t>לפניי ערעור לפי סעיף 152 לפקודת מס הכנסה [נוסח חדש]</w:t>
      </w:r>
      <w:r w:rsidR="001B51E5">
        <w:rPr>
          <w:rFonts w:ascii="David" w:hAnsi="David" w:hint="cs"/>
          <w:rtl/>
        </w:rPr>
        <w:t>,</w:t>
      </w:r>
      <w:r>
        <w:rPr>
          <w:rFonts w:ascii="David" w:hAnsi="David"/>
          <w:rtl/>
        </w:rPr>
        <w:t xml:space="preserve"> התשכ"א- 1961 (להלן: "</w:t>
      </w:r>
      <w:r>
        <w:rPr>
          <w:rFonts w:ascii="David" w:hAnsi="David"/>
          <w:b/>
          <w:bCs/>
          <w:rtl/>
        </w:rPr>
        <w:t>הפקודה</w:t>
      </w:r>
      <w:r>
        <w:rPr>
          <w:rFonts w:ascii="David" w:hAnsi="David"/>
          <w:rtl/>
        </w:rPr>
        <w:t>"), על שומה שהוציא המשיב למערערים מיום 7.3.2021 (להלן: "</w:t>
      </w:r>
      <w:r>
        <w:rPr>
          <w:rFonts w:ascii="David" w:hAnsi="David"/>
          <w:b/>
          <w:bCs/>
          <w:rtl/>
        </w:rPr>
        <w:t>השומה</w:t>
      </w:r>
      <w:r>
        <w:rPr>
          <w:rFonts w:ascii="David" w:hAnsi="David"/>
          <w:rtl/>
        </w:rPr>
        <w:t>"); וכן על קנס גירעון בו חייב המשיב את המערערים בהתאם להוראות סעיף 191 לפקודה.</w:t>
      </w:r>
    </w:p>
    <w:p w14:paraId="23B9A228" w14:textId="77777777" w:rsidR="00BB183F" w:rsidRDefault="00BB183F" w:rsidP="00BB183F">
      <w:pPr>
        <w:spacing w:line="360" w:lineRule="auto"/>
        <w:jc w:val="both"/>
        <w:rPr>
          <w:rFonts w:ascii="David" w:hAnsi="David"/>
          <w:b/>
          <w:bCs/>
          <w:u w:val="single"/>
          <w:rtl/>
        </w:rPr>
      </w:pPr>
    </w:p>
    <w:p w14:paraId="238EA735" w14:textId="77777777" w:rsidR="00BB183F" w:rsidRDefault="00BB183F" w:rsidP="00BB183F">
      <w:pPr>
        <w:spacing w:line="360" w:lineRule="auto"/>
        <w:jc w:val="both"/>
        <w:rPr>
          <w:rFonts w:ascii="David" w:hAnsi="David"/>
          <w:b/>
          <w:bCs/>
          <w:u w:val="single"/>
        </w:rPr>
      </w:pPr>
      <w:r>
        <w:rPr>
          <w:rFonts w:ascii="David" w:hAnsi="David"/>
          <w:b/>
          <w:bCs/>
          <w:u w:val="single"/>
          <w:rtl/>
        </w:rPr>
        <w:t>רקע עובדתי</w:t>
      </w:r>
    </w:p>
    <w:p w14:paraId="32B16B74" w14:textId="77777777" w:rsidR="00BB183F" w:rsidRDefault="00BB183F" w:rsidP="00BB183F">
      <w:pPr>
        <w:pStyle w:val="ad"/>
        <w:numPr>
          <w:ilvl w:val="0"/>
          <w:numId w:val="1"/>
        </w:numPr>
        <w:spacing w:line="360" w:lineRule="auto"/>
        <w:jc w:val="both"/>
        <w:rPr>
          <w:rFonts w:ascii="David" w:hAnsi="David"/>
        </w:rPr>
      </w:pPr>
      <w:r>
        <w:rPr>
          <w:rFonts w:ascii="David" w:hAnsi="David"/>
          <w:rtl/>
        </w:rPr>
        <w:t>המנוח יעקב ידיד ז"ל (להלן: "</w:t>
      </w:r>
      <w:r>
        <w:rPr>
          <w:rFonts w:ascii="David" w:hAnsi="David"/>
          <w:b/>
          <w:bCs/>
          <w:rtl/>
        </w:rPr>
        <w:t>המנוח</w:t>
      </w:r>
      <w:r>
        <w:rPr>
          <w:rFonts w:ascii="David" w:hAnsi="David"/>
          <w:rtl/>
        </w:rPr>
        <w:t>") והמערער 2 היו שותפים בחלקים שווים בשותפות "אליהו ויעקב ידיד- קבלנים" שמספרה 540175403 (להלן: "</w:t>
      </w:r>
      <w:r>
        <w:rPr>
          <w:rFonts w:ascii="David" w:hAnsi="David"/>
          <w:b/>
          <w:bCs/>
          <w:rtl/>
        </w:rPr>
        <w:t>השותפות</w:t>
      </w:r>
      <w:r>
        <w:rPr>
          <w:rFonts w:ascii="David" w:hAnsi="David"/>
          <w:rtl/>
        </w:rPr>
        <w:t>"), העוסקת בבניית דירות למכירה ובביצוע עבודות בנייה.</w:t>
      </w:r>
    </w:p>
    <w:p w14:paraId="5B741AC1" w14:textId="77777777" w:rsidR="00BB183F" w:rsidRDefault="00BB183F" w:rsidP="00BB183F">
      <w:pPr>
        <w:pStyle w:val="ad"/>
        <w:spacing w:line="360" w:lineRule="auto"/>
        <w:jc w:val="both"/>
        <w:rPr>
          <w:rFonts w:ascii="David" w:hAnsi="David"/>
          <w:rtl/>
        </w:rPr>
      </w:pPr>
    </w:p>
    <w:p w14:paraId="1033413F" w14:textId="77777777" w:rsidR="00BB183F" w:rsidRDefault="00BB183F" w:rsidP="001B51E5">
      <w:pPr>
        <w:pStyle w:val="ad"/>
        <w:numPr>
          <w:ilvl w:val="0"/>
          <w:numId w:val="1"/>
        </w:numPr>
        <w:spacing w:line="360" w:lineRule="auto"/>
        <w:jc w:val="both"/>
        <w:rPr>
          <w:rFonts w:ascii="David" w:hAnsi="David"/>
          <w:rtl/>
        </w:rPr>
      </w:pPr>
      <w:r>
        <w:rPr>
          <w:rFonts w:ascii="David" w:hAnsi="David"/>
          <w:rtl/>
        </w:rPr>
        <w:t>המנוח והמערער</w:t>
      </w:r>
      <w:r w:rsidR="001B51E5">
        <w:rPr>
          <w:rFonts w:ascii="David" w:hAnsi="David" w:hint="cs"/>
          <w:rtl/>
        </w:rPr>
        <w:t xml:space="preserve"> 2 </w:t>
      </w:r>
      <w:r>
        <w:rPr>
          <w:rFonts w:ascii="David" w:hAnsi="David"/>
          <w:rtl/>
        </w:rPr>
        <w:t>החזיקו כל אחד ב-50% מהון מניות חברת "ידיד בניה והשקעות בע"מ", ח.פ 511784142 (להלן: "</w:t>
      </w:r>
      <w:r>
        <w:rPr>
          <w:rFonts w:ascii="David" w:hAnsi="David"/>
          <w:b/>
          <w:bCs/>
          <w:rtl/>
        </w:rPr>
        <w:t>החברה</w:t>
      </w:r>
      <w:r>
        <w:rPr>
          <w:rFonts w:ascii="David" w:hAnsi="David"/>
          <w:rtl/>
        </w:rPr>
        <w:t>"), ובמניות חברת "גוש 55 חלקה 22 בע"מ", ח.פ 510306343 (להלן: "</w:t>
      </w:r>
      <w:r>
        <w:rPr>
          <w:rFonts w:ascii="David" w:hAnsi="David"/>
          <w:b/>
          <w:bCs/>
          <w:rtl/>
        </w:rPr>
        <w:t>חברת גוש חלקה</w:t>
      </w:r>
      <w:r>
        <w:rPr>
          <w:rFonts w:ascii="David" w:hAnsi="David"/>
          <w:rtl/>
        </w:rPr>
        <w:t>") בשיעורים של 18% למנוח ו-27% למערער 2.</w:t>
      </w:r>
    </w:p>
    <w:p w14:paraId="195ACD47" w14:textId="77777777" w:rsidR="00BB183F" w:rsidRDefault="00BB183F" w:rsidP="00BB183F">
      <w:pPr>
        <w:spacing w:line="360" w:lineRule="auto"/>
        <w:jc w:val="both"/>
        <w:rPr>
          <w:rFonts w:ascii="David" w:hAnsi="David"/>
          <w:rtl/>
        </w:rPr>
      </w:pPr>
    </w:p>
    <w:p w14:paraId="4B81E9E5" w14:textId="77777777" w:rsidR="00BB183F" w:rsidRDefault="00BB183F" w:rsidP="00BB183F">
      <w:pPr>
        <w:pStyle w:val="ad"/>
        <w:numPr>
          <w:ilvl w:val="0"/>
          <w:numId w:val="1"/>
        </w:numPr>
        <w:spacing w:line="360" w:lineRule="auto"/>
        <w:jc w:val="both"/>
        <w:rPr>
          <w:rFonts w:ascii="David" w:hAnsi="David"/>
        </w:rPr>
      </w:pPr>
      <w:r>
        <w:rPr>
          <w:rFonts w:ascii="David" w:hAnsi="David"/>
          <w:rtl/>
        </w:rPr>
        <w:t>בשנת 1987 (להלן: "</w:t>
      </w:r>
      <w:r>
        <w:rPr>
          <w:rFonts w:ascii="David" w:hAnsi="David"/>
          <w:b/>
          <w:bCs/>
          <w:rtl/>
        </w:rPr>
        <w:t>מועד הרכישה</w:t>
      </w:r>
      <w:r>
        <w:rPr>
          <w:rFonts w:ascii="David" w:hAnsi="David"/>
          <w:rtl/>
        </w:rPr>
        <w:t>") רכשו המנוח והמערער 2 מגרש בפינת הרחובות דרך בית לחם, ראובן וזרובבל בשכונת בקעה בירושלים, גוש 30015 חלקה 70 (מספר חלקה כיום הוא 104) (להלן: "</w:t>
      </w:r>
      <w:r>
        <w:rPr>
          <w:rFonts w:ascii="David" w:hAnsi="David"/>
          <w:b/>
          <w:bCs/>
          <w:rtl/>
        </w:rPr>
        <w:t>הנכס</w:t>
      </w:r>
      <w:r>
        <w:rPr>
          <w:rFonts w:ascii="David" w:hAnsi="David"/>
          <w:rtl/>
        </w:rPr>
        <w:t>" או "</w:t>
      </w:r>
      <w:r>
        <w:rPr>
          <w:rFonts w:ascii="David" w:hAnsi="David"/>
          <w:b/>
          <w:bCs/>
          <w:rtl/>
        </w:rPr>
        <w:t>המקרקעין</w:t>
      </w:r>
      <w:r>
        <w:rPr>
          <w:rFonts w:ascii="David" w:hAnsi="David"/>
          <w:rtl/>
        </w:rPr>
        <w:t>").</w:t>
      </w:r>
    </w:p>
    <w:p w14:paraId="51F6CC82" w14:textId="77777777" w:rsidR="00BB183F" w:rsidRDefault="00BB183F" w:rsidP="00BB183F">
      <w:pPr>
        <w:spacing w:line="360" w:lineRule="auto"/>
        <w:jc w:val="both"/>
        <w:rPr>
          <w:rFonts w:ascii="David" w:hAnsi="David"/>
          <w:rtl/>
        </w:rPr>
      </w:pPr>
    </w:p>
    <w:p w14:paraId="04107AA9" w14:textId="77777777" w:rsidR="00BB183F" w:rsidRDefault="00BB183F" w:rsidP="00BB183F">
      <w:pPr>
        <w:pStyle w:val="ad"/>
        <w:numPr>
          <w:ilvl w:val="0"/>
          <w:numId w:val="1"/>
        </w:numPr>
        <w:spacing w:line="360" w:lineRule="auto"/>
        <w:jc w:val="both"/>
        <w:rPr>
          <w:rFonts w:ascii="David" w:hAnsi="David"/>
        </w:rPr>
      </w:pPr>
      <w:r>
        <w:rPr>
          <w:rFonts w:ascii="David" w:hAnsi="David"/>
          <w:rtl/>
        </w:rPr>
        <w:t>במהלך השנים התקבלו בעיריית ירושלים בקשות להיתרים להגדלת אחוזי הבנייה המותרים במגרש ובמגרש הסמוך לו הנמצא בבעלות משפחת בנית. ביום 16.12.1997 ניתן היתר בנייה להקמת שלושה בניינים בני שלוש קומות כל אחד, מעל קומה וחצי המשמשת לחנייה (להלן: "</w:t>
      </w:r>
      <w:r>
        <w:rPr>
          <w:rFonts w:ascii="David" w:hAnsi="David"/>
          <w:b/>
          <w:bCs/>
          <w:rtl/>
        </w:rPr>
        <w:t>הפרויקט</w:t>
      </w:r>
      <w:r>
        <w:rPr>
          <w:rFonts w:ascii="David" w:hAnsi="David"/>
          <w:rtl/>
        </w:rPr>
        <w:t>").</w:t>
      </w:r>
    </w:p>
    <w:p w14:paraId="073E5A4C" w14:textId="77777777" w:rsidR="00BB183F" w:rsidRDefault="00BB183F" w:rsidP="00BB183F">
      <w:pPr>
        <w:pStyle w:val="ad"/>
        <w:spacing w:line="360" w:lineRule="auto"/>
        <w:jc w:val="both"/>
        <w:rPr>
          <w:rFonts w:ascii="David" w:hAnsi="David"/>
          <w:rtl/>
        </w:rPr>
      </w:pPr>
    </w:p>
    <w:p w14:paraId="7E1AD239" w14:textId="77777777" w:rsidR="00BB183F" w:rsidRDefault="00BB183F" w:rsidP="00BB183F">
      <w:pPr>
        <w:pStyle w:val="ad"/>
        <w:numPr>
          <w:ilvl w:val="0"/>
          <w:numId w:val="1"/>
        </w:numPr>
        <w:spacing w:line="360" w:lineRule="auto"/>
        <w:jc w:val="both"/>
        <w:rPr>
          <w:rFonts w:ascii="David" w:hAnsi="David"/>
        </w:rPr>
      </w:pPr>
      <w:r>
        <w:rPr>
          <w:rFonts w:ascii="David" w:hAnsi="David"/>
          <w:rtl/>
        </w:rPr>
        <w:lastRenderedPageBreak/>
        <w:t>משנת 1995, השנה הראשונה לגביה קיימים ברשות המשיב דוחות כספיים של השותפות, ועד לשנת המס 2013, דיווחו המנוח והמערער 2 (להלן: "</w:t>
      </w:r>
      <w:r>
        <w:rPr>
          <w:rFonts w:ascii="David" w:hAnsi="David"/>
          <w:b/>
          <w:bCs/>
          <w:rtl/>
        </w:rPr>
        <w:t>המערערים</w:t>
      </w:r>
      <w:r>
        <w:rPr>
          <w:rFonts w:ascii="David" w:hAnsi="David"/>
          <w:rtl/>
        </w:rPr>
        <w:t>") במאזני השותפות שהוגשו למס הכנסה על הפרויקט כמלאי עסקי תחת הסעיף "רכוש שוטף" (להבדיל מ"רכוש קבוע").</w:t>
      </w:r>
    </w:p>
    <w:p w14:paraId="65FFD2E2" w14:textId="77777777" w:rsidR="00BB183F" w:rsidRDefault="00BB183F" w:rsidP="00BB183F">
      <w:pPr>
        <w:spacing w:line="360" w:lineRule="auto"/>
        <w:jc w:val="both"/>
        <w:rPr>
          <w:rFonts w:ascii="David" w:hAnsi="David"/>
          <w:rtl/>
        </w:rPr>
      </w:pPr>
    </w:p>
    <w:p w14:paraId="224A23CF" w14:textId="77777777" w:rsidR="00BB183F" w:rsidRDefault="00BB183F" w:rsidP="00BB183F">
      <w:pPr>
        <w:pStyle w:val="ad"/>
        <w:numPr>
          <w:ilvl w:val="0"/>
          <w:numId w:val="1"/>
        </w:numPr>
        <w:spacing w:line="360" w:lineRule="auto"/>
        <w:jc w:val="both"/>
        <w:rPr>
          <w:rFonts w:ascii="David" w:hAnsi="David"/>
        </w:rPr>
      </w:pPr>
      <w:r>
        <w:rPr>
          <w:rFonts w:ascii="David" w:hAnsi="David"/>
          <w:rtl/>
        </w:rPr>
        <w:t>בדוחות השותפות לשנת 1999, שהוגשו בחודש מאי 2001, המשיכו המערערים לדווח על הנכס כרכוש שוטף וציינו בכוכבית תחת סעיף מלאי קרקע כי: "</w:t>
      </w:r>
      <w:r>
        <w:rPr>
          <w:rFonts w:ascii="David" w:hAnsi="David"/>
          <w:b/>
          <w:bCs/>
          <w:rtl/>
        </w:rPr>
        <w:t>השותפות הקימה ברחוב דרך בית לחם פינת רחוב ראובן, גוש 30015 חלקה 70 (ירושלים) מבנה להשכרה לפי חוק עידוד השקעות הון, בהתאם לכתב אישור מס' 04-20318-0-039297</w:t>
      </w:r>
      <w:r>
        <w:rPr>
          <w:rFonts w:ascii="David" w:hAnsi="David"/>
          <w:rtl/>
        </w:rPr>
        <w:t>".</w:t>
      </w:r>
    </w:p>
    <w:p w14:paraId="114C91C5" w14:textId="77777777" w:rsidR="00BB183F" w:rsidRDefault="00BB183F" w:rsidP="00BB183F">
      <w:pPr>
        <w:spacing w:line="360" w:lineRule="auto"/>
        <w:jc w:val="both"/>
        <w:rPr>
          <w:rFonts w:ascii="David" w:hAnsi="David"/>
          <w:rtl/>
        </w:rPr>
      </w:pPr>
    </w:p>
    <w:p w14:paraId="4180F6AD" w14:textId="77777777" w:rsidR="00BB183F" w:rsidRDefault="00BB183F" w:rsidP="00BB183F">
      <w:pPr>
        <w:pStyle w:val="ad"/>
        <w:numPr>
          <w:ilvl w:val="0"/>
          <w:numId w:val="1"/>
        </w:numPr>
        <w:spacing w:line="360" w:lineRule="auto"/>
        <w:jc w:val="both"/>
        <w:rPr>
          <w:rFonts w:ascii="David" w:hAnsi="David"/>
        </w:rPr>
      </w:pPr>
      <w:r>
        <w:rPr>
          <w:rFonts w:ascii="David" w:hAnsi="David"/>
          <w:rtl/>
        </w:rPr>
        <w:t>החל מיולי 2013 החלו המערערים לנהל את הפרויקט כמלון דירות בשם "רפאל רזידנס בוטיק" (להלן: "</w:t>
      </w:r>
      <w:r>
        <w:rPr>
          <w:rFonts w:ascii="David" w:hAnsi="David"/>
          <w:b/>
          <w:bCs/>
          <w:rtl/>
        </w:rPr>
        <w:t>מלון הדירות</w:t>
      </w:r>
      <w:r>
        <w:rPr>
          <w:rFonts w:ascii="David" w:hAnsi="David"/>
          <w:rtl/>
        </w:rPr>
        <w:t>") ודיווחו במאזני השותפות לשנת 2013 על שינוי סיווגו של הפרויקט מרכוש שוטף לרכוש קבוע.</w:t>
      </w:r>
    </w:p>
    <w:p w14:paraId="0B8428F6" w14:textId="77777777" w:rsidR="00BB183F" w:rsidRDefault="00BB183F" w:rsidP="00BB183F">
      <w:pPr>
        <w:spacing w:line="360" w:lineRule="auto"/>
        <w:jc w:val="both"/>
        <w:rPr>
          <w:rFonts w:ascii="David" w:hAnsi="David"/>
          <w:rtl/>
        </w:rPr>
      </w:pPr>
    </w:p>
    <w:p w14:paraId="68241E3C" w14:textId="77777777" w:rsidR="00BB183F" w:rsidRDefault="00BB183F" w:rsidP="00BB183F">
      <w:pPr>
        <w:pStyle w:val="ad"/>
        <w:numPr>
          <w:ilvl w:val="0"/>
          <w:numId w:val="1"/>
        </w:numPr>
        <w:spacing w:line="360" w:lineRule="auto"/>
        <w:jc w:val="both"/>
        <w:rPr>
          <w:rFonts w:ascii="David" w:hAnsi="David"/>
        </w:rPr>
      </w:pPr>
      <w:r>
        <w:rPr>
          <w:rFonts w:ascii="David" w:hAnsi="David"/>
          <w:rtl/>
        </w:rPr>
        <w:t>לאור כל האמור, המשיב קבע בצו כי בשנת 2013 נעשה שינוי ייעוד של הפרויקט ממלאי לרכוש קבוע, כפי שהשותפות דיווחה בדוחותיה. בהתאם לכך, החיל המשיב בצו את הוראות סעיף 85 לפקודה וחייב את השותפות בהכנסה בגין מכירת הפרויקט בתמורה השווה לשווי שוק וקבע הכנסה חייבת למערערים.</w:t>
      </w:r>
    </w:p>
    <w:p w14:paraId="4CA8DED4" w14:textId="77777777" w:rsidR="00BB183F" w:rsidRDefault="00BB183F" w:rsidP="00BB183F">
      <w:pPr>
        <w:spacing w:line="360" w:lineRule="auto"/>
        <w:jc w:val="both"/>
        <w:rPr>
          <w:rFonts w:ascii="David" w:hAnsi="David"/>
          <w:rtl/>
        </w:rPr>
      </w:pPr>
    </w:p>
    <w:p w14:paraId="05794E99" w14:textId="77777777" w:rsidR="00BB183F" w:rsidRDefault="00BB183F" w:rsidP="00BB183F">
      <w:pPr>
        <w:pStyle w:val="ad"/>
        <w:numPr>
          <w:ilvl w:val="0"/>
          <w:numId w:val="1"/>
        </w:numPr>
        <w:spacing w:line="360" w:lineRule="auto"/>
        <w:jc w:val="both"/>
        <w:rPr>
          <w:rFonts w:ascii="David" w:hAnsi="David"/>
        </w:rPr>
      </w:pPr>
      <w:r>
        <w:rPr>
          <w:rFonts w:ascii="David" w:hAnsi="David"/>
          <w:rtl/>
        </w:rPr>
        <w:t>ביום 22.10.2019 נעשתה ביקורת בפרויקט על ידי שמאית רשות המיסים, בנוכחות המערערים, בכדי לקבוע את "סכום השווי", כהגדרתו בסעיף 85, של מלון הדירות לצורך חישוב הרווח משינוי הייעוד. נקבע כי סה"כ שווי הפרויקט למכירה נכון ליום 31.12.2013 הינו 71,962,407 ₪.</w:t>
      </w:r>
    </w:p>
    <w:p w14:paraId="19C9066C" w14:textId="77777777" w:rsidR="00BB183F" w:rsidRDefault="00BB183F" w:rsidP="00BB183F">
      <w:pPr>
        <w:spacing w:line="360" w:lineRule="auto"/>
        <w:jc w:val="both"/>
        <w:rPr>
          <w:rFonts w:ascii="David" w:hAnsi="David"/>
          <w:rtl/>
        </w:rPr>
      </w:pPr>
    </w:p>
    <w:p w14:paraId="5008119C" w14:textId="77777777" w:rsidR="00BB183F" w:rsidRDefault="00BB183F" w:rsidP="00BB183F">
      <w:pPr>
        <w:pStyle w:val="ad"/>
        <w:numPr>
          <w:ilvl w:val="0"/>
          <w:numId w:val="1"/>
        </w:numPr>
        <w:spacing w:line="360" w:lineRule="auto"/>
        <w:jc w:val="both"/>
        <w:rPr>
          <w:rFonts w:ascii="David" w:hAnsi="David"/>
        </w:rPr>
      </w:pPr>
      <w:r>
        <w:rPr>
          <w:rFonts w:ascii="David" w:hAnsi="David"/>
          <w:rtl/>
        </w:rPr>
        <w:t>המשיב קבע בצו תוספת הכנסה בסך של 56,039,593 ₪ להכנסתה החייבת של השותפות בשנת המס 2013, השנה בה לטענתו בוצע שינוי ייעוד. הכנסה זו חולקה באופן שווה בין המערערים, סך של 28,019,796 ₪ לכל אחד.</w:t>
      </w:r>
    </w:p>
    <w:p w14:paraId="6098663C" w14:textId="77777777" w:rsidR="00BB183F" w:rsidRDefault="00BB183F" w:rsidP="00BB183F">
      <w:pPr>
        <w:spacing w:line="360" w:lineRule="auto"/>
        <w:jc w:val="both"/>
        <w:rPr>
          <w:rFonts w:ascii="David" w:hAnsi="David"/>
          <w:rtl/>
        </w:rPr>
      </w:pPr>
    </w:p>
    <w:p w14:paraId="51970076" w14:textId="77777777" w:rsidR="00BB183F" w:rsidRDefault="00BB183F" w:rsidP="00BB183F">
      <w:pPr>
        <w:pStyle w:val="ad"/>
        <w:numPr>
          <w:ilvl w:val="0"/>
          <w:numId w:val="1"/>
        </w:numPr>
        <w:spacing w:line="360" w:lineRule="auto"/>
        <w:jc w:val="both"/>
        <w:rPr>
          <w:rFonts w:ascii="David" w:hAnsi="David"/>
        </w:rPr>
      </w:pPr>
      <w:r>
        <w:rPr>
          <w:rFonts w:ascii="David" w:hAnsi="David"/>
          <w:rtl/>
        </w:rPr>
        <w:t>לבסוף, נעשה תיקון שמאות בעת הגשת חוות הדעת השמאית מטעם המשיב, משהתברר כי הנתונים בשומה התבססו על שווי שוק במועד מאוחר לאירוע המס. לפיכך, נערכה שומה חדשה במסגרתה נבחנו עסקאות השוואה שבוצעו בסמוך לאירוע המס ונקבע כי שווי הנכס עומד על 41,350,000 ₪.</w:t>
      </w:r>
    </w:p>
    <w:p w14:paraId="28F98197" w14:textId="77777777" w:rsidR="00BB183F" w:rsidRDefault="00BB183F" w:rsidP="00BB183F">
      <w:pPr>
        <w:spacing w:line="360" w:lineRule="auto"/>
        <w:jc w:val="both"/>
        <w:rPr>
          <w:rFonts w:ascii="David" w:hAnsi="David"/>
          <w:rtl/>
        </w:rPr>
      </w:pPr>
    </w:p>
    <w:p w14:paraId="06ED45B7" w14:textId="77777777" w:rsidR="00BB183F" w:rsidRDefault="00BB183F" w:rsidP="001B51E5">
      <w:pPr>
        <w:pStyle w:val="ad"/>
        <w:numPr>
          <w:ilvl w:val="0"/>
          <w:numId w:val="1"/>
        </w:numPr>
        <w:spacing w:line="360" w:lineRule="auto"/>
        <w:jc w:val="both"/>
        <w:rPr>
          <w:rFonts w:ascii="David" w:hAnsi="David"/>
        </w:rPr>
      </w:pPr>
      <w:r>
        <w:rPr>
          <w:rFonts w:ascii="David" w:hAnsi="David"/>
          <w:rtl/>
        </w:rPr>
        <w:t>המשיב קבע גם כי המערערים התרשלו בהכנת דוחות השותפות, ולפיכך חייב אותם בקנס גירעון בהתאם להוראות סעיף 191 לפקודה. קנס הגירעון הינו בס</w:t>
      </w:r>
      <w:r w:rsidR="001B51E5">
        <w:rPr>
          <w:rFonts w:ascii="David" w:hAnsi="David" w:hint="cs"/>
          <w:rtl/>
        </w:rPr>
        <w:t xml:space="preserve">כום של </w:t>
      </w:r>
      <w:r>
        <w:rPr>
          <w:rFonts w:ascii="David" w:hAnsi="David"/>
          <w:rtl/>
        </w:rPr>
        <w:t>5,337,104 ₪ וביחס לכל מערער 2,668,552 ₪.</w:t>
      </w:r>
    </w:p>
    <w:p w14:paraId="5798385F" w14:textId="77777777" w:rsidR="00BB183F" w:rsidRPr="001B51E5" w:rsidRDefault="00BB183F" w:rsidP="00BB183F">
      <w:pPr>
        <w:spacing w:line="360" w:lineRule="auto"/>
        <w:jc w:val="both"/>
        <w:rPr>
          <w:rFonts w:ascii="David" w:hAnsi="David"/>
          <w:rtl/>
        </w:rPr>
      </w:pPr>
    </w:p>
    <w:p w14:paraId="05B78BE0" w14:textId="77777777" w:rsidR="00BB183F" w:rsidRDefault="00BB183F" w:rsidP="00BB183F">
      <w:pPr>
        <w:pStyle w:val="ad"/>
        <w:numPr>
          <w:ilvl w:val="0"/>
          <w:numId w:val="1"/>
        </w:numPr>
        <w:spacing w:line="360" w:lineRule="auto"/>
        <w:jc w:val="both"/>
        <w:rPr>
          <w:rFonts w:ascii="David" w:hAnsi="David"/>
        </w:rPr>
      </w:pPr>
      <w:r>
        <w:rPr>
          <w:rFonts w:ascii="David" w:hAnsi="David"/>
          <w:rtl/>
        </w:rPr>
        <w:t>יצוין כי ביום 17.9.2020 נחתמו הסכמי שומות עם המערערים בגין שנות המס 2014-2017 במסגרתם הוסכם, בין היתר, כי ההפסדים אשר קיימים למערערים בשנת 2013 קוזזו כנגד ההכנסות שנבעו להם בשנים 2014-2017 ולא יקוזזו כנגד ההכנסות הנובעות מהצווים בענייננו.</w:t>
      </w:r>
    </w:p>
    <w:p w14:paraId="6D7DD169" w14:textId="77777777" w:rsidR="00BB183F" w:rsidRDefault="00BB183F" w:rsidP="00BB183F">
      <w:pPr>
        <w:spacing w:line="360" w:lineRule="auto"/>
        <w:jc w:val="both"/>
        <w:rPr>
          <w:rFonts w:ascii="David" w:hAnsi="David"/>
          <w:b/>
          <w:bCs/>
          <w:u w:val="single"/>
          <w:rtl/>
        </w:rPr>
      </w:pPr>
    </w:p>
    <w:p w14:paraId="0ED79C76" w14:textId="77777777" w:rsidR="00BB183F" w:rsidRDefault="00BB183F" w:rsidP="00BB183F">
      <w:pPr>
        <w:spacing w:line="360" w:lineRule="auto"/>
        <w:jc w:val="both"/>
        <w:rPr>
          <w:rFonts w:ascii="David" w:hAnsi="David"/>
          <w:b/>
          <w:bCs/>
          <w:u w:val="single"/>
        </w:rPr>
      </w:pPr>
      <w:r>
        <w:rPr>
          <w:rFonts w:ascii="David" w:hAnsi="David"/>
          <w:b/>
          <w:bCs/>
          <w:u w:val="single"/>
          <w:rtl/>
        </w:rPr>
        <w:t>תמצית טענות הצדדים</w:t>
      </w:r>
    </w:p>
    <w:p w14:paraId="009A2354" w14:textId="77777777" w:rsidR="00BB183F" w:rsidRDefault="00BB183F" w:rsidP="00BB183F">
      <w:pPr>
        <w:spacing w:line="360" w:lineRule="auto"/>
        <w:jc w:val="both"/>
        <w:rPr>
          <w:rFonts w:ascii="David" w:hAnsi="David"/>
          <w:u w:val="single"/>
          <w:rtl/>
        </w:rPr>
      </w:pPr>
      <w:r>
        <w:rPr>
          <w:rFonts w:ascii="David" w:hAnsi="David"/>
          <w:u w:val="single"/>
          <w:rtl/>
        </w:rPr>
        <w:t>טענות המערערים</w:t>
      </w:r>
    </w:p>
    <w:p w14:paraId="3449F36E" w14:textId="77777777" w:rsidR="00BB183F" w:rsidRDefault="00BB183F" w:rsidP="001B51E5">
      <w:pPr>
        <w:pStyle w:val="ad"/>
        <w:numPr>
          <w:ilvl w:val="0"/>
          <w:numId w:val="1"/>
        </w:numPr>
        <w:spacing w:line="360" w:lineRule="auto"/>
        <w:jc w:val="both"/>
        <w:rPr>
          <w:rFonts w:ascii="David" w:hAnsi="David"/>
          <w:rtl/>
        </w:rPr>
      </w:pPr>
      <w:r>
        <w:rPr>
          <w:rFonts w:ascii="David" w:hAnsi="David"/>
          <w:rtl/>
        </w:rPr>
        <w:t>לטענת המערערים, אין לראות במעשיהם משום "שינוי ייעוד" ומשום אירוע מס המעביר נכס שברשותם מ"מלאי עסקי" ל"רכוש קבוע" וכפועל יוצא אין לחייב אותם במס כלל.</w:t>
      </w:r>
    </w:p>
    <w:p w14:paraId="140C995C" w14:textId="77777777" w:rsidR="001B51E5" w:rsidRDefault="001B51E5" w:rsidP="001B51E5">
      <w:pPr>
        <w:pStyle w:val="ad"/>
        <w:spacing w:line="360" w:lineRule="auto"/>
        <w:jc w:val="both"/>
        <w:rPr>
          <w:rFonts w:ascii="David" w:hAnsi="David"/>
        </w:rPr>
      </w:pPr>
    </w:p>
    <w:p w14:paraId="42640798" w14:textId="77777777" w:rsidR="00BB183F" w:rsidRDefault="00BB183F" w:rsidP="00BB183F">
      <w:pPr>
        <w:pStyle w:val="ad"/>
        <w:numPr>
          <w:ilvl w:val="0"/>
          <w:numId w:val="1"/>
        </w:numPr>
        <w:spacing w:line="360" w:lineRule="auto"/>
        <w:jc w:val="both"/>
        <w:rPr>
          <w:rFonts w:ascii="David" w:hAnsi="David"/>
          <w:rtl/>
        </w:rPr>
      </w:pPr>
      <w:r>
        <w:rPr>
          <w:rFonts w:ascii="David" w:hAnsi="David"/>
          <w:rtl/>
        </w:rPr>
        <w:t xml:space="preserve">כך לטענתם, כשנרכשו המקרקעין בשנת 1987 נרשמו כרכוש שוטף ומשנת 1997 ייעדו המערערים את המקרקעין לרכוש קבוע, ודיווחו למס רכוש מקרקעין על הפיכת הנכס לרכוש קבוע, כאשר הוסיפו לאורך השנים, הערה בדוחות השותפות, כי הבניה היא למטרת השכרה באישור מרכז ההשקעות. לכן טוענים המערערים כי נהגו הלכה למעשה במקרקעין כפי שנוהגים ברכוש קבוע החל משנת 1997. </w:t>
      </w:r>
    </w:p>
    <w:p w14:paraId="12843803" w14:textId="77777777" w:rsidR="00BB183F" w:rsidRDefault="00BB183F" w:rsidP="00BB183F">
      <w:pPr>
        <w:pStyle w:val="ad"/>
        <w:rPr>
          <w:rFonts w:ascii="David" w:hAnsi="David"/>
          <w:rtl/>
        </w:rPr>
      </w:pPr>
    </w:p>
    <w:p w14:paraId="75658887" w14:textId="77777777" w:rsidR="00BB183F" w:rsidRDefault="00BB183F" w:rsidP="00BB183F">
      <w:pPr>
        <w:pStyle w:val="ad"/>
        <w:numPr>
          <w:ilvl w:val="0"/>
          <w:numId w:val="1"/>
        </w:numPr>
        <w:spacing w:line="360" w:lineRule="auto"/>
        <w:jc w:val="both"/>
        <w:rPr>
          <w:rFonts w:ascii="David" w:hAnsi="David"/>
        </w:rPr>
      </w:pPr>
      <w:r>
        <w:rPr>
          <w:rFonts w:ascii="David" w:hAnsi="David"/>
          <w:rtl/>
        </w:rPr>
        <w:t xml:space="preserve">לחילופין, טענו המערערים כי ככל שבוצע שינוי ייעוד במקרקעין, הרי שמדובר בשינוי ייעוד שבוצע לכל המאוחר בשנת 1997, וחלה עליו התיישנות. </w:t>
      </w:r>
    </w:p>
    <w:p w14:paraId="5333A125" w14:textId="77777777" w:rsidR="00BB183F" w:rsidRDefault="00BB183F" w:rsidP="00BB183F">
      <w:pPr>
        <w:pStyle w:val="ad"/>
        <w:spacing w:line="360" w:lineRule="auto"/>
        <w:jc w:val="both"/>
        <w:rPr>
          <w:rFonts w:ascii="David" w:hAnsi="David"/>
        </w:rPr>
      </w:pPr>
    </w:p>
    <w:p w14:paraId="7EB9FD40" w14:textId="77777777" w:rsidR="00BB183F" w:rsidRDefault="00BB183F" w:rsidP="00BB183F">
      <w:pPr>
        <w:pStyle w:val="ad"/>
        <w:numPr>
          <w:ilvl w:val="0"/>
          <w:numId w:val="1"/>
        </w:numPr>
        <w:spacing w:line="360" w:lineRule="auto"/>
        <w:jc w:val="both"/>
        <w:rPr>
          <w:rFonts w:ascii="David" w:hAnsi="David"/>
          <w:rtl/>
        </w:rPr>
      </w:pPr>
      <w:r>
        <w:rPr>
          <w:rFonts w:ascii="David" w:hAnsi="David"/>
          <w:rtl/>
        </w:rPr>
        <w:t>בדיוני השומה טענו המערערים כי הצגת הפרויקט במאזן השותפות עד לשנת 2013, תחת סעיף הרכוש השוטף ולא תחת סעיף הרכוש הקבוע, מקורה בטעות נמשכת של כלל המעורבים, לרבות רואי החשבון.</w:t>
      </w:r>
    </w:p>
    <w:p w14:paraId="40358745" w14:textId="77777777" w:rsidR="00BB183F" w:rsidRDefault="00BB183F" w:rsidP="00BB183F">
      <w:pPr>
        <w:spacing w:line="360" w:lineRule="auto"/>
        <w:jc w:val="both"/>
        <w:rPr>
          <w:rFonts w:ascii="David" w:hAnsi="David"/>
          <w:rtl/>
        </w:rPr>
      </w:pPr>
    </w:p>
    <w:p w14:paraId="60934831" w14:textId="77777777" w:rsidR="00BB183F" w:rsidRDefault="00BB183F" w:rsidP="00BB183F">
      <w:pPr>
        <w:spacing w:line="360" w:lineRule="auto"/>
        <w:jc w:val="both"/>
        <w:rPr>
          <w:rFonts w:ascii="David" w:hAnsi="David"/>
          <w:u w:val="single"/>
        </w:rPr>
      </w:pPr>
      <w:r>
        <w:rPr>
          <w:rFonts w:ascii="David" w:hAnsi="David"/>
          <w:u w:val="single"/>
          <w:rtl/>
        </w:rPr>
        <w:t>טענות המשיב</w:t>
      </w:r>
    </w:p>
    <w:p w14:paraId="0D456FBF" w14:textId="77777777" w:rsidR="00BB183F" w:rsidRDefault="00BB183F" w:rsidP="00BB183F">
      <w:pPr>
        <w:pStyle w:val="ad"/>
        <w:numPr>
          <w:ilvl w:val="0"/>
          <w:numId w:val="1"/>
        </w:numPr>
        <w:spacing w:line="360" w:lineRule="auto"/>
        <w:jc w:val="both"/>
        <w:rPr>
          <w:rFonts w:ascii="David" w:hAnsi="David"/>
        </w:rPr>
      </w:pPr>
      <w:r>
        <w:rPr>
          <w:rFonts w:ascii="David" w:hAnsi="David"/>
          <w:rtl/>
        </w:rPr>
        <w:t>לטענת המשיב, ההצגה בדוחות ואופן רישומו של הנכס במאזן מהווים לפחות כראיה לכאורית בדבר אפיון הנכס. לפיכך, בשנת 2013 שינתה השותפות את ייעודו של הפרויקט ועל פי סעיף 85 לפקודה יש לראות זאת כמכירה בשווי שוק ולחייב את המערערים על הרווח שנבע מכך על פי סעיף 2(1) לפקודה.</w:t>
      </w:r>
    </w:p>
    <w:p w14:paraId="3BDCB419" w14:textId="77777777" w:rsidR="00BB183F" w:rsidRDefault="00BB183F" w:rsidP="00BB183F">
      <w:pPr>
        <w:spacing w:line="360" w:lineRule="auto"/>
        <w:jc w:val="both"/>
        <w:rPr>
          <w:rFonts w:ascii="David" w:hAnsi="David"/>
        </w:rPr>
      </w:pPr>
    </w:p>
    <w:p w14:paraId="1CF60863" w14:textId="77777777" w:rsidR="00BB183F" w:rsidRDefault="00BB183F" w:rsidP="00BB183F">
      <w:pPr>
        <w:pStyle w:val="ad"/>
        <w:numPr>
          <w:ilvl w:val="0"/>
          <w:numId w:val="1"/>
        </w:numPr>
        <w:spacing w:line="360" w:lineRule="auto"/>
        <w:jc w:val="both"/>
        <w:rPr>
          <w:rFonts w:ascii="David" w:hAnsi="David"/>
          <w:rtl/>
        </w:rPr>
      </w:pPr>
      <w:r>
        <w:rPr>
          <w:rFonts w:ascii="David" w:hAnsi="David"/>
          <w:rtl/>
        </w:rPr>
        <w:t>המשיב טען כי במסגרת הערעור טענות המערערים השתכללו תוך מגמה שלא לחוב במס בגין שינויי הייעוד. לדידו, המערערים אוחזים בשתי טענות סותרות- טענה עיקרית שלא בוצע כל שינוי ייעוד בנכס, וטענה שנייה, לפיה אם בוצע שינוי ייעוד, הוא בוצע בשנת 1997.</w:t>
      </w:r>
    </w:p>
    <w:p w14:paraId="25AC879F" w14:textId="77777777" w:rsidR="00BB183F" w:rsidRDefault="00BB183F" w:rsidP="00BB183F">
      <w:pPr>
        <w:spacing w:line="360" w:lineRule="auto"/>
        <w:jc w:val="both"/>
        <w:rPr>
          <w:rFonts w:ascii="David" w:hAnsi="David"/>
          <w:rtl/>
        </w:rPr>
      </w:pPr>
    </w:p>
    <w:p w14:paraId="66DBA771" w14:textId="77777777" w:rsidR="00BB183F" w:rsidRDefault="00BB183F" w:rsidP="00BB183F">
      <w:pPr>
        <w:pStyle w:val="ad"/>
        <w:numPr>
          <w:ilvl w:val="0"/>
          <w:numId w:val="1"/>
        </w:numPr>
        <w:spacing w:line="360" w:lineRule="auto"/>
        <w:jc w:val="both"/>
        <w:rPr>
          <w:rFonts w:ascii="David" w:hAnsi="David"/>
        </w:rPr>
      </w:pPr>
      <w:r>
        <w:rPr>
          <w:rFonts w:ascii="David" w:hAnsi="David"/>
          <w:rtl/>
        </w:rPr>
        <w:t xml:space="preserve">לטענת המשיב, גם אילו לכאורה נעשה שינוי הייעוד בשנת 1997, לא נתקבל דיווח לפקיד שומה כנדרש. משכך, המשיב סבור כי אף בכל השנים הקודמות לשנת 1955 (הדוח הכספי </w:t>
      </w:r>
      <w:r>
        <w:rPr>
          <w:rFonts w:ascii="David" w:hAnsi="David"/>
          <w:rtl/>
        </w:rPr>
        <w:lastRenderedPageBreak/>
        <w:t>הראשון), החל משנת 1987, שנת רכישת המקרקעין, דיווחו המערערים על המקרקעין כרכוש שוטף.</w:t>
      </w:r>
    </w:p>
    <w:p w14:paraId="13B37B3C" w14:textId="77777777" w:rsidR="00BB183F" w:rsidRDefault="00BB183F" w:rsidP="00BB183F">
      <w:pPr>
        <w:pStyle w:val="ad"/>
        <w:rPr>
          <w:rFonts w:ascii="David" w:hAnsi="David"/>
        </w:rPr>
      </w:pPr>
    </w:p>
    <w:p w14:paraId="678B76D3" w14:textId="77777777" w:rsidR="00BB183F" w:rsidRDefault="00BB183F" w:rsidP="00BB183F">
      <w:pPr>
        <w:pStyle w:val="ad"/>
        <w:numPr>
          <w:ilvl w:val="0"/>
          <w:numId w:val="1"/>
        </w:numPr>
        <w:spacing w:line="360" w:lineRule="auto"/>
        <w:jc w:val="both"/>
        <w:rPr>
          <w:rFonts w:ascii="David" w:hAnsi="David"/>
        </w:rPr>
      </w:pPr>
      <w:r>
        <w:rPr>
          <w:rFonts w:ascii="David" w:hAnsi="David"/>
          <w:rtl/>
        </w:rPr>
        <w:t>כך לטענתו, המערערים מנועים ומושתקים מלטעון אחרת ממה שהצהירו במהלך כ-16 שנים, וזאת בשל החיסכון במס בסכומים מהותיים, בשל אי-יישום חוק התיאומים וכן בשל אי-תשלום מס רכוש מלא על קרקע שהיא רכוש קבוע.</w:t>
      </w:r>
    </w:p>
    <w:p w14:paraId="6C5A682C" w14:textId="77777777" w:rsidR="00BB183F" w:rsidRDefault="00BB183F" w:rsidP="00BB183F">
      <w:pPr>
        <w:spacing w:line="360" w:lineRule="auto"/>
        <w:jc w:val="both"/>
        <w:rPr>
          <w:rFonts w:ascii="David" w:hAnsi="David"/>
          <w:rtl/>
        </w:rPr>
      </w:pPr>
    </w:p>
    <w:p w14:paraId="635B52EC" w14:textId="77777777" w:rsidR="00BB183F" w:rsidRDefault="00BB183F" w:rsidP="00BB183F">
      <w:pPr>
        <w:pStyle w:val="ad"/>
        <w:numPr>
          <w:ilvl w:val="0"/>
          <w:numId w:val="1"/>
        </w:numPr>
        <w:spacing w:line="360" w:lineRule="auto"/>
        <w:jc w:val="both"/>
        <w:rPr>
          <w:rFonts w:ascii="David" w:hAnsi="David"/>
        </w:rPr>
      </w:pPr>
      <w:r>
        <w:rPr>
          <w:rFonts w:ascii="David" w:hAnsi="David"/>
          <w:rtl/>
        </w:rPr>
        <w:t>עוד נטען, כי הפרויקט לא הוצג כנכס בר פחת בטופס י"א של השותפות לאורך כל השנים, והדבר מהווה אינדיקציה כי השותפות לא התייחסה אל הפרויקט כאל רכוש קבוע במהלך כל השנים.</w:t>
      </w:r>
    </w:p>
    <w:p w14:paraId="41891A26" w14:textId="77777777" w:rsidR="00BB183F" w:rsidRDefault="00BB183F" w:rsidP="00BB183F">
      <w:pPr>
        <w:spacing w:line="360" w:lineRule="auto"/>
        <w:jc w:val="both"/>
        <w:rPr>
          <w:rFonts w:ascii="David" w:hAnsi="David"/>
          <w:rtl/>
        </w:rPr>
      </w:pPr>
    </w:p>
    <w:p w14:paraId="43BD0BA8" w14:textId="77777777" w:rsidR="00BB183F" w:rsidRDefault="00BB183F" w:rsidP="00BB183F">
      <w:pPr>
        <w:pStyle w:val="ad"/>
        <w:numPr>
          <w:ilvl w:val="0"/>
          <w:numId w:val="1"/>
        </w:numPr>
        <w:spacing w:line="360" w:lineRule="auto"/>
        <w:jc w:val="both"/>
        <w:rPr>
          <w:rFonts w:ascii="David" w:hAnsi="David"/>
        </w:rPr>
      </w:pPr>
      <w:r>
        <w:rPr>
          <w:rFonts w:ascii="David" w:hAnsi="David"/>
          <w:rtl/>
        </w:rPr>
        <w:t xml:space="preserve">לבסוף, טען המשיב כי מדובר בפרויקט בסכום משמעותי ביחס לפעילות השוטפת של השותפות, אשר עשיית "טעות" גורפת ונשנית לגבי אופן הצגתו במאזן אינה מסתברת; זאת כל שכן כאשר המערערים הינם קבלנים וביצעו עסקאות רבות במקרקעין, כיחידים ובאמצעות חברות, ויש להם ידע, בקיאות ומחזוריות. </w:t>
      </w:r>
    </w:p>
    <w:p w14:paraId="4674FC6E" w14:textId="77777777" w:rsidR="00BB183F" w:rsidRDefault="00BB183F" w:rsidP="00BB183F">
      <w:pPr>
        <w:spacing w:line="360" w:lineRule="auto"/>
        <w:jc w:val="both"/>
        <w:rPr>
          <w:rFonts w:ascii="David" w:hAnsi="David"/>
        </w:rPr>
      </w:pPr>
    </w:p>
    <w:p w14:paraId="1104DDFB" w14:textId="77777777" w:rsidR="00BB183F" w:rsidRDefault="00BB183F" w:rsidP="00BB183F">
      <w:pPr>
        <w:spacing w:line="360" w:lineRule="auto"/>
        <w:jc w:val="both"/>
        <w:rPr>
          <w:rFonts w:ascii="David" w:hAnsi="David"/>
          <w:b/>
          <w:bCs/>
          <w:u w:val="single"/>
          <w:rtl/>
        </w:rPr>
      </w:pPr>
      <w:r>
        <w:rPr>
          <w:rFonts w:ascii="David" w:hAnsi="David"/>
          <w:b/>
          <w:bCs/>
          <w:u w:val="single"/>
          <w:rtl/>
        </w:rPr>
        <w:t>דיון והכרעה</w:t>
      </w:r>
    </w:p>
    <w:p w14:paraId="02C4ADBF" w14:textId="77777777" w:rsidR="00BB183F" w:rsidRDefault="00BB183F" w:rsidP="00BB183F">
      <w:pPr>
        <w:pStyle w:val="ad"/>
        <w:numPr>
          <w:ilvl w:val="0"/>
          <w:numId w:val="1"/>
        </w:numPr>
        <w:spacing w:line="360" w:lineRule="auto"/>
        <w:jc w:val="both"/>
        <w:rPr>
          <w:rFonts w:ascii="David" w:hAnsi="David"/>
        </w:rPr>
      </w:pPr>
      <w:r>
        <w:rPr>
          <w:rFonts w:ascii="David" w:hAnsi="David"/>
          <w:rtl/>
        </w:rPr>
        <w:t>סעיף 85 לפקודה מגדיר מהו "מלאי עסקי":</w:t>
      </w:r>
    </w:p>
    <w:p w14:paraId="4E4A1768" w14:textId="77777777" w:rsidR="00BB183F" w:rsidRDefault="00BB183F" w:rsidP="00BB183F">
      <w:pPr>
        <w:pStyle w:val="ad"/>
        <w:spacing w:line="360" w:lineRule="auto"/>
        <w:jc w:val="both"/>
        <w:rPr>
          <w:rFonts w:ascii="David" w:hAnsi="David"/>
          <w:rtl/>
        </w:rPr>
      </w:pPr>
    </w:p>
    <w:p w14:paraId="0B70D245" w14:textId="77777777" w:rsidR="00BB183F" w:rsidRDefault="00BB183F" w:rsidP="00BB183F">
      <w:pPr>
        <w:spacing w:line="360" w:lineRule="auto"/>
        <w:ind w:left="1417"/>
        <w:jc w:val="both"/>
        <w:rPr>
          <w:rFonts w:ascii="David" w:hAnsi="David"/>
          <w:b/>
          <w:bCs/>
          <w:rtl/>
        </w:rPr>
      </w:pPr>
      <w:r>
        <w:rPr>
          <w:rFonts w:ascii="David" w:hAnsi="David"/>
          <w:b/>
          <w:bCs/>
          <w:color w:val="202122"/>
          <w:shd w:val="clear" w:color="auto" w:fill="FFFFFF"/>
          <w:rtl/>
        </w:rPr>
        <w:t>""מלאי עסקי" – כל נכס מטלטלין או מקרקעין הנמכר במהלכו הרגיל של העסק, או שהיה נמכר כך אילו הבשיל או הגיע לגמר ייצורו, הכנתו או בנייתו, וכל חומר המשמש בייצורו, בהכנתו או בבנייתו של אותו נכס</w:t>
      </w:r>
      <w:r>
        <w:rPr>
          <w:rFonts w:ascii="David" w:hAnsi="David"/>
          <w:b/>
          <w:bCs/>
          <w:color w:val="202122"/>
          <w:shd w:val="clear" w:color="auto" w:fill="FFFFFF"/>
        </w:rPr>
        <w:t>;</w:t>
      </w:r>
      <w:r>
        <w:rPr>
          <w:rFonts w:ascii="David" w:hAnsi="David"/>
          <w:b/>
          <w:bCs/>
          <w:rtl/>
        </w:rPr>
        <w:t>"</w:t>
      </w:r>
    </w:p>
    <w:p w14:paraId="023F5140" w14:textId="77777777" w:rsidR="00BB183F" w:rsidRDefault="00BB183F" w:rsidP="00BB183F">
      <w:pPr>
        <w:spacing w:line="360" w:lineRule="auto"/>
        <w:ind w:left="1417"/>
        <w:jc w:val="both"/>
        <w:rPr>
          <w:rFonts w:ascii="David" w:hAnsi="David"/>
          <w:b/>
          <w:bCs/>
          <w:rtl/>
        </w:rPr>
      </w:pPr>
    </w:p>
    <w:p w14:paraId="521CAFDC" w14:textId="77777777" w:rsidR="00BB183F" w:rsidRDefault="00BB183F" w:rsidP="00BB183F">
      <w:pPr>
        <w:pStyle w:val="ad"/>
        <w:spacing w:line="360" w:lineRule="auto"/>
        <w:jc w:val="both"/>
        <w:rPr>
          <w:rFonts w:ascii="David" w:hAnsi="David"/>
        </w:rPr>
      </w:pPr>
      <w:r>
        <w:rPr>
          <w:rFonts w:ascii="David" w:hAnsi="David"/>
          <w:rtl/>
        </w:rPr>
        <w:t xml:space="preserve">בהמשך לכך, קובע סעיף 85(א)(2) לפקודה: </w:t>
      </w:r>
    </w:p>
    <w:p w14:paraId="319359D3" w14:textId="77777777" w:rsidR="00BB183F" w:rsidRDefault="00BB183F" w:rsidP="00BB183F">
      <w:pPr>
        <w:pStyle w:val="ad"/>
        <w:spacing w:line="360" w:lineRule="auto"/>
        <w:jc w:val="both"/>
        <w:rPr>
          <w:rFonts w:ascii="David" w:hAnsi="David"/>
          <w:rtl/>
        </w:rPr>
      </w:pPr>
    </w:p>
    <w:p w14:paraId="7CE9C865" w14:textId="77777777" w:rsidR="00BB183F" w:rsidRDefault="00BB183F" w:rsidP="00BB183F">
      <w:pPr>
        <w:shd w:val="clear" w:color="auto" w:fill="FFFFFF"/>
        <w:spacing w:line="360" w:lineRule="auto"/>
        <w:ind w:left="1417"/>
        <w:jc w:val="both"/>
        <w:rPr>
          <w:rFonts w:ascii="David" w:hAnsi="David"/>
          <w:b/>
          <w:bCs/>
          <w:noProof w:val="0"/>
          <w:color w:val="202122"/>
          <w:rtl/>
        </w:rPr>
      </w:pPr>
      <w:r>
        <w:rPr>
          <w:rFonts w:ascii="David" w:hAnsi="David"/>
          <w:b/>
          <w:bCs/>
          <w:noProof w:val="0"/>
          <w:color w:val="202122"/>
          <w:rtl/>
        </w:rPr>
        <w:t xml:space="preserve">"(א) בחישוב </w:t>
      </w:r>
      <w:proofErr w:type="spellStart"/>
      <w:r>
        <w:rPr>
          <w:rFonts w:ascii="David" w:hAnsi="David"/>
          <w:b/>
          <w:bCs/>
          <w:noProof w:val="0"/>
          <w:color w:val="202122"/>
          <w:rtl/>
        </w:rPr>
        <w:t>ההשתכרויות</w:t>
      </w:r>
      <w:proofErr w:type="spellEnd"/>
      <w:r>
        <w:rPr>
          <w:rFonts w:ascii="David" w:hAnsi="David"/>
          <w:b/>
          <w:bCs/>
          <w:noProof w:val="0"/>
          <w:color w:val="202122"/>
          <w:rtl/>
        </w:rPr>
        <w:t xml:space="preserve"> או הרווחים מעסק </w:t>
      </w:r>
      <w:proofErr w:type="spellStart"/>
      <w:r>
        <w:rPr>
          <w:rFonts w:ascii="David" w:hAnsi="David"/>
          <w:b/>
          <w:bCs/>
          <w:noProof w:val="0"/>
          <w:color w:val="202122"/>
          <w:rtl/>
        </w:rPr>
        <w:t>לענין</w:t>
      </w:r>
      <w:proofErr w:type="spellEnd"/>
      <w:r>
        <w:rPr>
          <w:rFonts w:ascii="David" w:hAnsi="David"/>
          <w:b/>
          <w:bCs/>
          <w:noProof w:val="0"/>
          <w:color w:val="202122"/>
          <w:rtl/>
        </w:rPr>
        <w:t xml:space="preserve"> פקודה זו, יראו מלאי עסקי שהיה שייך לאותו עסק במקרים האמורים להלן כנמכר בסכום השווי</w:t>
      </w:r>
      <w:r>
        <w:rPr>
          <w:rFonts w:ascii="David" w:hAnsi="David"/>
          <w:b/>
          <w:bCs/>
          <w:noProof w:val="0"/>
          <w:color w:val="202122"/>
        </w:rPr>
        <w:t>:</w:t>
      </w:r>
    </w:p>
    <w:p w14:paraId="2FB9B53E" w14:textId="77777777" w:rsidR="00BB183F" w:rsidRDefault="00BB183F" w:rsidP="00BB183F">
      <w:pPr>
        <w:shd w:val="clear" w:color="auto" w:fill="FFFFFF"/>
        <w:spacing w:line="360" w:lineRule="auto"/>
        <w:ind w:left="1417"/>
        <w:jc w:val="both"/>
        <w:rPr>
          <w:rFonts w:ascii="David" w:hAnsi="David"/>
          <w:b/>
          <w:bCs/>
          <w:noProof w:val="0"/>
          <w:color w:val="202122"/>
          <w:rtl/>
        </w:rPr>
      </w:pPr>
      <w:r>
        <w:rPr>
          <w:rFonts w:ascii="David" w:hAnsi="David"/>
          <w:b/>
          <w:bCs/>
          <w:noProof w:val="0"/>
          <w:color w:val="202122"/>
          <w:rtl/>
        </w:rPr>
        <w:t>[...]</w:t>
      </w:r>
    </w:p>
    <w:p w14:paraId="026ACA64" w14:textId="77777777" w:rsidR="00BB183F" w:rsidRDefault="00BB183F" w:rsidP="00BB183F">
      <w:pPr>
        <w:shd w:val="clear" w:color="auto" w:fill="FFFFFF"/>
        <w:spacing w:line="360" w:lineRule="auto"/>
        <w:ind w:left="1417"/>
        <w:jc w:val="both"/>
        <w:rPr>
          <w:rFonts w:ascii="David" w:hAnsi="David"/>
          <w:b/>
          <w:bCs/>
          <w:noProof w:val="0"/>
          <w:color w:val="202122"/>
          <w:rtl/>
        </w:rPr>
      </w:pPr>
      <w:r>
        <w:rPr>
          <w:rFonts w:ascii="David" w:hAnsi="David"/>
          <w:b/>
          <w:bCs/>
          <w:noProof w:val="0"/>
          <w:color w:val="202122"/>
        </w:rPr>
        <w:t>(2)</w:t>
      </w:r>
      <w:r>
        <w:rPr>
          <w:rFonts w:ascii="David" w:hAnsi="David"/>
          <w:b/>
          <w:bCs/>
          <w:noProof w:val="0"/>
          <w:color w:val="202122"/>
          <w:rtl/>
        </w:rPr>
        <w:t xml:space="preserve"> </w:t>
      </w:r>
      <w:r>
        <w:rPr>
          <w:rFonts w:ascii="David" w:hAnsi="David" w:hint="cs"/>
          <w:b/>
          <w:bCs/>
          <w:noProof w:val="0"/>
          <w:color w:val="202122"/>
          <w:rtl/>
        </w:rPr>
        <w:t>מלאי עסקי שהוצא או שהועבר מהעסק שלא בתמורה או שלא בתמורה מלאה, וכן מלאי עסקי בעסק שהפכוהו לנכס קבוע באותו עסק</w:t>
      </w:r>
      <w:r>
        <w:rPr>
          <w:rFonts w:ascii="Arial" w:hAnsi="Arial" w:cs="Arial"/>
          <w:b/>
          <w:bCs/>
          <w:noProof w:val="0"/>
          <w:color w:val="202122"/>
        </w:rPr>
        <w:t>.</w:t>
      </w:r>
      <w:r>
        <w:rPr>
          <w:rFonts w:ascii="David" w:hAnsi="David"/>
          <w:b/>
          <w:bCs/>
          <w:noProof w:val="0"/>
          <w:color w:val="202122"/>
          <w:rtl/>
        </w:rPr>
        <w:t>"</w:t>
      </w:r>
    </w:p>
    <w:p w14:paraId="55E32103" w14:textId="77777777" w:rsidR="00BB183F" w:rsidRDefault="00BB183F" w:rsidP="00BB183F">
      <w:pPr>
        <w:spacing w:line="360" w:lineRule="auto"/>
        <w:jc w:val="both"/>
        <w:rPr>
          <w:rFonts w:ascii="David" w:hAnsi="David"/>
          <w:b/>
          <w:bCs/>
          <w:noProof w:val="0"/>
          <w:color w:val="202122"/>
          <w:rtl/>
        </w:rPr>
      </w:pPr>
    </w:p>
    <w:p w14:paraId="05766343" w14:textId="77777777" w:rsidR="00BB183F" w:rsidRDefault="00BB183F" w:rsidP="00BB183F">
      <w:pPr>
        <w:pStyle w:val="ad"/>
        <w:numPr>
          <w:ilvl w:val="0"/>
          <w:numId w:val="1"/>
        </w:numPr>
        <w:spacing w:line="360" w:lineRule="auto"/>
        <w:jc w:val="both"/>
        <w:rPr>
          <w:b/>
          <w:bCs/>
          <w:rtl/>
        </w:rPr>
      </w:pPr>
      <w:r>
        <w:rPr>
          <w:rtl/>
        </w:rPr>
        <w:t>יפים לענייננו דבריו של פרופ' נמדר בספרו "מס הכנסה יסודות ועיקריים" לעניין מבחן הרישום במאזן:</w:t>
      </w:r>
    </w:p>
    <w:p w14:paraId="29CAAC6D" w14:textId="77777777" w:rsidR="00BB183F" w:rsidRDefault="00BB183F" w:rsidP="00BB183F">
      <w:pPr>
        <w:spacing w:line="360" w:lineRule="auto"/>
        <w:jc w:val="both"/>
        <w:rPr>
          <w:b/>
          <w:bCs/>
          <w:rtl/>
        </w:rPr>
      </w:pPr>
    </w:p>
    <w:p w14:paraId="5F459615" w14:textId="77777777" w:rsidR="00BB183F" w:rsidRDefault="00BB183F" w:rsidP="00BB183F">
      <w:pPr>
        <w:pStyle w:val="ad"/>
        <w:spacing w:line="360" w:lineRule="auto"/>
        <w:ind w:left="1417"/>
        <w:jc w:val="both"/>
        <w:rPr>
          <w:rFonts w:ascii="David" w:hAnsi="David"/>
          <w:b/>
          <w:bCs/>
          <w:rtl/>
        </w:rPr>
      </w:pPr>
      <w:r>
        <w:rPr>
          <w:b/>
          <w:bCs/>
          <w:rtl/>
        </w:rPr>
        <w:lastRenderedPageBreak/>
        <w:t xml:space="preserve">"על כל עסק המנהל ספרים לרשום כל פעולה פיננסית בדו״חות הכספיים של העסק. מכאן ניתן לגזור כי צורת הרישום בספרים יש בה כדי לרמוז על אופיה של העיסקה כפי שהנישום ראה אותה. </w:t>
      </w:r>
      <w:r>
        <w:rPr>
          <w:b/>
          <w:bCs/>
          <w:u w:val="single"/>
          <w:rtl/>
        </w:rPr>
        <w:t>אם הנכס נרשם כמלאי עסקי - הרי מכירתו מוכיחה על עיסקה מסחרית</w:t>
      </w:r>
      <w:r>
        <w:rPr>
          <w:b/>
          <w:bCs/>
          <w:rtl/>
        </w:rPr>
        <w:t xml:space="preserve">, ואם הנכס נרשם כנכס קבוע - הפעולה תייצג ריווח במישור ההוני. </w:t>
      </w:r>
      <w:r>
        <w:rPr>
          <w:b/>
          <w:bCs/>
          <w:u w:val="single"/>
          <w:rtl/>
        </w:rPr>
        <w:t>אכן קשה להסיק כי פעולת רישום חד צדדית מצד הנישום יהיה בה כדי לקבוע את אופייה של העסקה, שהרי פעמים שהרישום יעשה בשוגג או בזדון בצורה לא נכונה</w:t>
      </w:r>
      <w:r>
        <w:rPr>
          <w:b/>
          <w:bCs/>
          <w:rtl/>
        </w:rPr>
        <w:t xml:space="preserve">. ואולם, מצד שני, רישום כזה יכול להוות לפחות ראיה לכאורה כנגד הנישום אם הוא נוקט בעמדה שונה ממה שהוא בעצמו רשם בספריו." </w:t>
      </w:r>
      <w:r>
        <w:rPr>
          <w:rFonts w:ascii="David" w:hAnsi="David"/>
          <w:shd w:val="clear" w:color="auto" w:fill="FFFFFF"/>
          <w:rtl/>
        </w:rPr>
        <w:t>אהרן </w:t>
      </w:r>
      <w:hyperlink r:id="rId9" w:tgtFrame="blank" w:history="1">
        <w:r>
          <w:rPr>
            <w:rStyle w:val="Hyperlink"/>
            <w:rFonts w:ascii="David" w:hAnsi="David"/>
            <w:shd w:val="clear" w:color="auto" w:fill="FFFFFF"/>
            <w:rtl/>
          </w:rPr>
          <w:t>נמדר מס הכנסה</w:t>
        </w:r>
      </w:hyperlink>
      <w:r>
        <w:rPr>
          <w:rFonts w:ascii="David" w:hAnsi="David"/>
          <w:shd w:val="clear" w:color="auto" w:fill="FFFFFF"/>
        </w:rPr>
        <w:t> </w:t>
      </w:r>
      <w:r>
        <w:rPr>
          <w:rFonts w:ascii="David" w:hAnsi="David"/>
          <w:shd w:val="clear" w:color="auto" w:fill="FFFFFF"/>
          <w:rtl/>
        </w:rPr>
        <w:t xml:space="preserve">(יסודות ועיקרים) </w:t>
      </w:r>
      <w:r>
        <w:rPr>
          <w:rFonts w:ascii="David" w:hAnsi="David"/>
          <w:shd w:val="clear" w:color="auto" w:fill="FFFFFF"/>
        </w:rPr>
        <w:t xml:space="preserve"> 101</w:t>
      </w:r>
      <w:r>
        <w:rPr>
          <w:rFonts w:ascii="David" w:hAnsi="David"/>
          <w:shd w:val="clear" w:color="auto" w:fill="FFFFFF"/>
          <w:rtl/>
        </w:rPr>
        <w:t>(מהדורה רביעית,2013) (להלן: "</w:t>
      </w:r>
      <w:r>
        <w:rPr>
          <w:rFonts w:ascii="David" w:hAnsi="David"/>
          <w:b/>
          <w:bCs/>
          <w:shd w:val="clear" w:color="auto" w:fill="FFFFFF"/>
          <w:rtl/>
        </w:rPr>
        <w:t>נמדר</w:t>
      </w:r>
      <w:r>
        <w:rPr>
          <w:rFonts w:ascii="David" w:hAnsi="David"/>
          <w:shd w:val="clear" w:color="auto" w:fill="FFFFFF"/>
          <w:rtl/>
        </w:rPr>
        <w:t>").</w:t>
      </w:r>
    </w:p>
    <w:p w14:paraId="0B9B7E39" w14:textId="77777777" w:rsidR="00BB183F" w:rsidRDefault="00BB183F" w:rsidP="00BB183F">
      <w:pPr>
        <w:spacing w:line="360" w:lineRule="auto"/>
        <w:jc w:val="both"/>
        <w:rPr>
          <w:rFonts w:ascii="David" w:hAnsi="David"/>
          <w:b/>
          <w:bCs/>
          <w:rtl/>
        </w:rPr>
      </w:pPr>
    </w:p>
    <w:p w14:paraId="6745F4F8" w14:textId="77777777" w:rsidR="00BB183F" w:rsidRDefault="00BB183F" w:rsidP="00BB183F">
      <w:pPr>
        <w:pStyle w:val="ad"/>
        <w:numPr>
          <w:ilvl w:val="0"/>
          <w:numId w:val="1"/>
        </w:numPr>
        <w:spacing w:line="360" w:lineRule="auto"/>
        <w:jc w:val="both"/>
        <w:rPr>
          <w:rFonts w:ascii="David" w:hAnsi="David"/>
          <w:b/>
          <w:bCs/>
          <w:rtl/>
        </w:rPr>
      </w:pPr>
      <w:r>
        <w:rPr>
          <w:rFonts w:ascii="David" w:hAnsi="David"/>
          <w:rtl/>
        </w:rPr>
        <w:t xml:space="preserve">האמור לעיל משקף שתי עמדות ולמעשה את לב המחלוקת שלפניינו. מחד, עמדה המייחסת משקל גבוה לאופן הצגת הדברים והדיווח של המערערים לאורך השנים; מאידך, עמדה המתחשבת בעובדה כי פעולת הרישום כשלעצמה אינה חזות הכל, אלא יש לבחון את מצב הנכס ומהותו. אבקש להראות כי לאור הנסיבות שיפורטו, העמדה השנייה היא המסתברת יותר בענייננו.  </w:t>
      </w:r>
    </w:p>
    <w:p w14:paraId="01D3CB01" w14:textId="77777777" w:rsidR="00BB183F" w:rsidRDefault="00BB183F" w:rsidP="00BB183F">
      <w:pPr>
        <w:pStyle w:val="ad"/>
        <w:spacing w:line="360" w:lineRule="auto"/>
        <w:jc w:val="both"/>
        <w:rPr>
          <w:rFonts w:ascii="David" w:hAnsi="David"/>
          <w:b/>
          <w:bCs/>
          <w:rtl/>
        </w:rPr>
      </w:pPr>
    </w:p>
    <w:p w14:paraId="351F90F9" w14:textId="77777777" w:rsidR="00BB183F" w:rsidRDefault="00BB183F" w:rsidP="00BB183F">
      <w:pPr>
        <w:pStyle w:val="ad"/>
        <w:numPr>
          <w:ilvl w:val="0"/>
          <w:numId w:val="1"/>
        </w:numPr>
        <w:spacing w:line="360" w:lineRule="auto"/>
        <w:jc w:val="both"/>
        <w:rPr>
          <w:rFonts w:ascii="David" w:hAnsi="David"/>
          <w:rtl/>
        </w:rPr>
      </w:pPr>
      <w:r>
        <w:rPr>
          <w:rFonts w:ascii="David" w:hAnsi="David"/>
          <w:rtl/>
        </w:rPr>
        <w:t xml:space="preserve">המחלוקת במרכז הערעור נעוצה אפוא בשאלה </w:t>
      </w:r>
      <w:r>
        <w:rPr>
          <w:rFonts w:ascii="David" w:hAnsi="David"/>
          <w:b/>
          <w:bCs/>
          <w:rtl/>
        </w:rPr>
        <w:t>האם בוצע שינוי ייעוד במקרקעין</w:t>
      </w:r>
      <w:r>
        <w:rPr>
          <w:rFonts w:ascii="David" w:hAnsi="David"/>
          <w:rtl/>
        </w:rPr>
        <w:t xml:space="preserve"> כטענת המשיב ואם כן באיזה שנה, תוך בחינת סוגיית ההתיישנות. כאמור, בעוד המערערים סבורים כי יש להכריע בשאלה באספקלריה של השימוש שבוצע בפועל במקרקעין, המשיב בוחן את משמעות השינוי כנגזרת מאופן הרישום בספרים. הגם שבאופן עקרוני, כמצוין לעיל, רישום נכס בדוחות מהווה או עשוי להוות בנסיבות מסוימות ראייה לכאורית בדבר אפיון הנכס ומהותו, מצאתי לנכון כי </w:t>
      </w:r>
      <w:r>
        <w:rPr>
          <w:rFonts w:ascii="David" w:hAnsi="David"/>
          <w:b/>
          <w:bCs/>
          <w:rtl/>
        </w:rPr>
        <w:t>במקרה דנן שינוי הרישום בשנת 2013 איננו מעיד על שינוי כלשהו אשר בוצע במקרקעין</w:t>
      </w:r>
      <w:r>
        <w:rPr>
          <w:rFonts w:ascii="David" w:hAnsi="David"/>
          <w:rtl/>
        </w:rPr>
        <w:t xml:space="preserve"> </w:t>
      </w:r>
      <w:r>
        <w:rPr>
          <w:rFonts w:ascii="David" w:hAnsi="David"/>
          <w:b/>
          <w:bCs/>
          <w:rtl/>
        </w:rPr>
        <w:t>בפועל</w:t>
      </w:r>
      <w:r>
        <w:rPr>
          <w:rFonts w:ascii="David" w:hAnsi="David"/>
          <w:rtl/>
        </w:rPr>
        <w:t>.</w:t>
      </w:r>
    </w:p>
    <w:p w14:paraId="17096F5D" w14:textId="77777777" w:rsidR="00BB183F" w:rsidRDefault="00BB183F" w:rsidP="00BB183F">
      <w:pPr>
        <w:shd w:val="clear" w:color="auto" w:fill="FFFFFF"/>
        <w:spacing w:line="360" w:lineRule="atLeast"/>
        <w:ind w:right="284"/>
        <w:jc w:val="both"/>
        <w:rPr>
          <w:rFonts w:cs="Times New Roman"/>
          <w:noProof w:val="0"/>
          <w:color w:val="000000"/>
        </w:rPr>
      </w:pPr>
    </w:p>
    <w:p w14:paraId="6001F12A" w14:textId="77777777" w:rsidR="00BB183F" w:rsidRDefault="00BB183F" w:rsidP="00BB183F">
      <w:pPr>
        <w:pStyle w:val="ad"/>
        <w:numPr>
          <w:ilvl w:val="0"/>
          <w:numId w:val="1"/>
        </w:numPr>
        <w:spacing w:line="360" w:lineRule="auto"/>
        <w:jc w:val="both"/>
        <w:rPr>
          <w:rFonts w:ascii="Arial" w:hAnsi="Arial"/>
          <w:noProof w:val="0"/>
        </w:rPr>
      </w:pPr>
      <w:r>
        <w:rPr>
          <w:rFonts w:ascii="Arial" w:hAnsi="Arial"/>
          <w:noProof w:val="0"/>
          <w:rtl/>
        </w:rPr>
        <w:t xml:space="preserve">באשר לקביעה אם הפך מלאי עסקי לרכוש קבוע ראו </w:t>
      </w:r>
      <w:proofErr w:type="spellStart"/>
      <w:r>
        <w:rPr>
          <w:rFonts w:ascii="Arial" w:hAnsi="Arial"/>
          <w:noProof w:val="0"/>
          <w:rtl/>
        </w:rPr>
        <w:t>עמ"ה</w:t>
      </w:r>
      <w:proofErr w:type="spellEnd"/>
      <w:r>
        <w:rPr>
          <w:rFonts w:ascii="Arial" w:hAnsi="Arial"/>
          <w:noProof w:val="0"/>
          <w:rtl/>
        </w:rPr>
        <w:t xml:space="preserve"> 176/82 </w:t>
      </w:r>
      <w:r>
        <w:rPr>
          <w:rFonts w:ascii="Arial" w:hAnsi="Arial"/>
          <w:b/>
          <w:bCs/>
          <w:noProof w:val="0"/>
          <w:rtl/>
        </w:rPr>
        <w:t xml:space="preserve">משה </w:t>
      </w:r>
      <w:proofErr w:type="spellStart"/>
      <w:r>
        <w:rPr>
          <w:rFonts w:ascii="Arial" w:hAnsi="Arial"/>
          <w:b/>
          <w:bCs/>
          <w:noProof w:val="0"/>
          <w:rtl/>
        </w:rPr>
        <w:t>גינצבורג</w:t>
      </w:r>
      <w:proofErr w:type="spellEnd"/>
      <w:r>
        <w:rPr>
          <w:rFonts w:ascii="Arial" w:hAnsi="Arial"/>
          <w:b/>
          <w:bCs/>
          <w:noProof w:val="0"/>
          <w:rtl/>
        </w:rPr>
        <w:t xml:space="preserve"> בע"מ נ' </w:t>
      </w:r>
      <w:proofErr w:type="spellStart"/>
      <w:r>
        <w:rPr>
          <w:rFonts w:ascii="Arial" w:hAnsi="Arial"/>
          <w:b/>
          <w:bCs/>
          <w:noProof w:val="0"/>
          <w:rtl/>
        </w:rPr>
        <w:t>פ"ש</w:t>
      </w:r>
      <w:proofErr w:type="spellEnd"/>
      <w:r>
        <w:rPr>
          <w:rFonts w:ascii="Arial" w:hAnsi="Arial"/>
          <w:b/>
          <w:bCs/>
          <w:noProof w:val="0"/>
          <w:rtl/>
        </w:rPr>
        <w:t xml:space="preserve"> ת"א 1 </w:t>
      </w:r>
      <w:r>
        <w:rPr>
          <w:rFonts w:ascii="Arial" w:hAnsi="Arial"/>
          <w:noProof w:val="0"/>
          <w:rtl/>
        </w:rPr>
        <w:t xml:space="preserve">(17.11.1986), שם קבע כב' השופט אשר כך: </w:t>
      </w:r>
    </w:p>
    <w:p w14:paraId="458DC2CE" w14:textId="77777777" w:rsidR="00BB183F" w:rsidRDefault="00BB183F" w:rsidP="00BB183F">
      <w:pPr>
        <w:pStyle w:val="ad"/>
        <w:rPr>
          <w:rFonts w:ascii="Arial" w:hAnsi="Arial"/>
          <w:noProof w:val="0"/>
          <w:rtl/>
        </w:rPr>
      </w:pPr>
    </w:p>
    <w:p w14:paraId="6A773DE9" w14:textId="77777777" w:rsidR="00BB183F" w:rsidRDefault="00BB183F" w:rsidP="00BB183F">
      <w:pPr>
        <w:shd w:val="clear" w:color="auto" w:fill="FFFFFF"/>
        <w:spacing w:line="360" w:lineRule="auto"/>
        <w:ind w:left="1417"/>
        <w:jc w:val="both"/>
        <w:rPr>
          <w:rFonts w:ascii="David" w:hAnsi="David"/>
          <w:b/>
          <w:bCs/>
          <w:noProof w:val="0"/>
          <w:color w:val="000000"/>
          <w:u w:val="single"/>
          <w:rtl/>
        </w:rPr>
      </w:pPr>
      <w:r>
        <w:rPr>
          <w:rFonts w:ascii="David" w:hAnsi="David"/>
          <w:b/>
          <w:bCs/>
          <w:noProof w:val="0"/>
          <w:color w:val="000000"/>
          <w:rtl/>
        </w:rPr>
        <w:t xml:space="preserve">"[...] </w:t>
      </w:r>
      <w:proofErr w:type="spellStart"/>
      <w:r>
        <w:rPr>
          <w:rFonts w:ascii="David" w:hAnsi="David"/>
          <w:b/>
          <w:bCs/>
          <w:noProof w:val="0"/>
          <w:color w:val="000000"/>
          <w:rtl/>
        </w:rPr>
        <w:t>הארוע</w:t>
      </w:r>
      <w:proofErr w:type="spellEnd"/>
      <w:r>
        <w:rPr>
          <w:rFonts w:ascii="David" w:hAnsi="David"/>
          <w:b/>
          <w:bCs/>
          <w:noProof w:val="0"/>
          <w:color w:val="000000"/>
          <w:rtl/>
        </w:rPr>
        <w:t xml:space="preserve"> החמישי היינו "מלאי עסקי בעסק שהפכוהו לנכס קבוע" הינו מעשה גלוי. </w:t>
      </w:r>
      <w:proofErr w:type="spellStart"/>
      <w:r>
        <w:rPr>
          <w:rFonts w:ascii="David" w:hAnsi="David"/>
          <w:b/>
          <w:bCs/>
          <w:noProof w:val="0"/>
          <w:color w:val="000000"/>
          <w:rtl/>
        </w:rPr>
        <w:t>ארוע</w:t>
      </w:r>
      <w:proofErr w:type="spellEnd"/>
      <w:r>
        <w:rPr>
          <w:rFonts w:ascii="David" w:hAnsi="David"/>
          <w:b/>
          <w:bCs/>
          <w:noProof w:val="0"/>
          <w:color w:val="000000"/>
          <w:rtl/>
        </w:rPr>
        <w:t xml:space="preserve"> מס זה הוא אשר בא אלינו מן התקדים הידוע – </w:t>
      </w:r>
      <w:proofErr w:type="spellStart"/>
      <w:r>
        <w:rPr>
          <w:rFonts w:ascii="David" w:hAnsi="David"/>
          <w:b/>
          <w:bCs/>
          <w:noProof w:val="0"/>
          <w:color w:val="000000"/>
          <w:rtl/>
        </w:rPr>
        <w:t>שארקי</w:t>
      </w:r>
      <w:proofErr w:type="spellEnd"/>
      <w:r>
        <w:rPr>
          <w:rFonts w:ascii="David" w:hAnsi="David"/>
          <w:b/>
          <w:bCs/>
          <w:noProof w:val="0"/>
          <w:color w:val="000000"/>
          <w:rtl/>
        </w:rPr>
        <w:t xml:space="preserve"> נ. וורנר </w:t>
      </w:r>
      <w:r>
        <w:rPr>
          <w:rFonts w:ascii="David" w:hAnsi="David"/>
          <w:b/>
          <w:bCs/>
          <w:noProof w:val="0"/>
          <w:color w:val="000000"/>
        </w:rPr>
        <w:t>36 TC 275</w:t>
      </w:r>
      <w:r>
        <w:rPr>
          <w:rFonts w:ascii="David" w:hAnsi="David"/>
          <w:b/>
          <w:bCs/>
          <w:noProof w:val="0"/>
          <w:color w:val="000000"/>
          <w:rtl/>
        </w:rPr>
        <w:t xml:space="preserve">, שם, </w:t>
      </w:r>
      <w:proofErr w:type="spellStart"/>
      <w:r>
        <w:rPr>
          <w:rFonts w:ascii="David" w:hAnsi="David"/>
          <w:b/>
          <w:bCs/>
          <w:noProof w:val="0"/>
          <w:color w:val="000000"/>
          <w:rtl/>
        </w:rPr>
        <w:t>ארוע</w:t>
      </w:r>
      <w:proofErr w:type="spellEnd"/>
      <w:r>
        <w:rPr>
          <w:rFonts w:ascii="David" w:hAnsi="David"/>
          <w:b/>
          <w:bCs/>
          <w:noProof w:val="0"/>
          <w:color w:val="000000"/>
          <w:rtl/>
        </w:rPr>
        <w:t xml:space="preserve"> הרעיוני אשר בית המשפט יצר היה כאשר גב' אחת אשר עסקה בניהול חווה לגידול סוסי </w:t>
      </w:r>
      <w:proofErr w:type="spellStart"/>
      <w:r>
        <w:rPr>
          <w:rFonts w:ascii="David" w:hAnsi="David"/>
          <w:b/>
          <w:bCs/>
          <w:noProof w:val="0"/>
          <w:color w:val="000000"/>
          <w:rtl/>
        </w:rPr>
        <w:t>מירוץ</w:t>
      </w:r>
      <w:proofErr w:type="spellEnd"/>
      <w:r>
        <w:rPr>
          <w:rFonts w:ascii="David" w:hAnsi="David"/>
          <w:b/>
          <w:bCs/>
          <w:noProof w:val="0"/>
          <w:color w:val="000000"/>
          <w:rtl/>
        </w:rPr>
        <w:t xml:space="preserve"> ומכירתם העבירה 5 סוסים מבין הסוסים שבחווה והשתמשה בהם להנאתה </w:t>
      </w:r>
      <w:proofErr w:type="spellStart"/>
      <w:r>
        <w:rPr>
          <w:rFonts w:ascii="David" w:hAnsi="David"/>
          <w:b/>
          <w:bCs/>
          <w:noProof w:val="0"/>
          <w:color w:val="000000"/>
          <w:rtl/>
        </w:rPr>
        <w:t>במירוצי</w:t>
      </w:r>
      <w:proofErr w:type="spellEnd"/>
      <w:r>
        <w:rPr>
          <w:rFonts w:ascii="David" w:hAnsi="David"/>
          <w:b/>
          <w:bCs/>
          <w:noProof w:val="0"/>
          <w:color w:val="000000"/>
          <w:rtl/>
        </w:rPr>
        <w:t xml:space="preserve"> סוסים. </w:t>
      </w:r>
      <w:r>
        <w:rPr>
          <w:rFonts w:ascii="David" w:hAnsi="David"/>
          <w:b/>
          <w:bCs/>
          <w:noProof w:val="0"/>
          <w:color w:val="000000"/>
          <w:u w:val="single"/>
          <w:rtl/>
        </w:rPr>
        <w:t xml:space="preserve">זאת </w:t>
      </w:r>
      <w:proofErr w:type="spellStart"/>
      <w:r>
        <w:rPr>
          <w:rFonts w:ascii="David" w:hAnsi="David"/>
          <w:b/>
          <w:bCs/>
          <w:noProof w:val="0"/>
          <w:color w:val="000000"/>
          <w:u w:val="single"/>
          <w:rtl/>
        </w:rPr>
        <w:t>היתה</w:t>
      </w:r>
      <w:proofErr w:type="spellEnd"/>
      <w:r>
        <w:rPr>
          <w:rFonts w:ascii="David" w:hAnsi="David"/>
          <w:b/>
          <w:bCs/>
          <w:noProof w:val="0"/>
          <w:color w:val="000000"/>
          <w:u w:val="single"/>
          <w:rtl/>
        </w:rPr>
        <w:t xml:space="preserve"> הפיכה מנכס עסקי לנכס קבוע. הפיכה שיש בה מעשה.</w:t>
      </w:r>
    </w:p>
    <w:p w14:paraId="7B8F151E" w14:textId="77777777" w:rsidR="00BB183F" w:rsidRDefault="00BB183F" w:rsidP="00BB183F">
      <w:pPr>
        <w:shd w:val="clear" w:color="auto" w:fill="FFFFFF"/>
        <w:spacing w:line="360" w:lineRule="auto"/>
        <w:ind w:left="1417"/>
        <w:jc w:val="both"/>
        <w:rPr>
          <w:rFonts w:ascii="David" w:hAnsi="David"/>
          <w:b/>
          <w:bCs/>
          <w:noProof w:val="0"/>
          <w:color w:val="000000"/>
        </w:rPr>
      </w:pPr>
      <w:r>
        <w:rPr>
          <w:rFonts w:ascii="David" w:hAnsi="David"/>
          <w:b/>
          <w:bCs/>
          <w:noProof w:val="0"/>
          <w:color w:val="000000"/>
          <w:rtl/>
        </w:rPr>
        <w:t xml:space="preserve">אין הנכס הופך מעסקי לקבוע אלא אם הפכו אותו למעשה כך. כגון דירה </w:t>
      </w:r>
      <w:proofErr w:type="spellStart"/>
      <w:r>
        <w:rPr>
          <w:rFonts w:ascii="David" w:hAnsi="David"/>
          <w:b/>
          <w:bCs/>
          <w:noProof w:val="0"/>
          <w:color w:val="000000"/>
          <w:rtl/>
        </w:rPr>
        <w:t>בבנין</w:t>
      </w:r>
      <w:proofErr w:type="spellEnd"/>
      <w:r>
        <w:rPr>
          <w:rFonts w:ascii="David" w:hAnsi="David"/>
          <w:b/>
          <w:bCs/>
          <w:noProof w:val="0"/>
          <w:color w:val="000000"/>
          <w:rtl/>
        </w:rPr>
        <w:t xml:space="preserve"> שקבלן בנה והשכירה או שהעביר לעצמו לשימושו או כיוצ"ב. החלטה של חברה </w:t>
      </w:r>
      <w:r>
        <w:rPr>
          <w:rFonts w:ascii="David" w:hAnsi="David"/>
          <w:b/>
          <w:bCs/>
          <w:noProof w:val="0"/>
          <w:color w:val="000000"/>
          <w:rtl/>
        </w:rPr>
        <w:lastRenderedPageBreak/>
        <w:t>לעשות זאת אינה הופכת עדיין את הנכס לקבוע. אין זו אלא כוונה שייתכן שתבוצע ויתכן שלא תבוצע.</w:t>
      </w:r>
    </w:p>
    <w:p w14:paraId="3B2A1B4E" w14:textId="77777777" w:rsidR="00BB183F" w:rsidRDefault="00BB183F" w:rsidP="00BB183F">
      <w:pPr>
        <w:shd w:val="clear" w:color="auto" w:fill="FFFFFF"/>
        <w:spacing w:line="360" w:lineRule="auto"/>
        <w:ind w:left="1417"/>
        <w:jc w:val="both"/>
        <w:rPr>
          <w:rFonts w:ascii="David" w:hAnsi="David"/>
          <w:b/>
          <w:bCs/>
          <w:noProof w:val="0"/>
          <w:color w:val="000000"/>
          <w:rtl/>
        </w:rPr>
      </w:pPr>
      <w:r>
        <w:rPr>
          <w:rFonts w:ascii="David" w:hAnsi="David"/>
          <w:b/>
          <w:bCs/>
          <w:noProof w:val="0"/>
          <w:color w:val="000000"/>
          <w:u w:val="single"/>
          <w:rtl/>
        </w:rPr>
        <w:t>גם שינוי ברישום במאזן אינו עושה את מעשה ההפיכה לנכס קבוע</w:t>
      </w:r>
      <w:r>
        <w:rPr>
          <w:rFonts w:ascii="David" w:hAnsi="David"/>
          <w:b/>
          <w:bCs/>
          <w:noProof w:val="0"/>
          <w:color w:val="000000"/>
          <w:rtl/>
        </w:rPr>
        <w:t xml:space="preserve">. חברה הרושמת במאזנה נכס כנכס קבוע לאחר שקודם לכן היה רשום כנכס עסקי אינה אלא אומרת בדרך זו כי אין בכוונתה למכור נכס זה בפרק זמן של השנה הקרובה או באותה תדירות אשר </w:t>
      </w:r>
      <w:proofErr w:type="spellStart"/>
      <w:r>
        <w:rPr>
          <w:rFonts w:ascii="David" w:hAnsi="David"/>
          <w:b/>
          <w:bCs/>
          <w:noProof w:val="0"/>
          <w:color w:val="000000"/>
          <w:rtl/>
        </w:rPr>
        <w:t>נקוטה</w:t>
      </w:r>
      <w:proofErr w:type="spellEnd"/>
      <w:r>
        <w:rPr>
          <w:rFonts w:ascii="David" w:hAnsi="David"/>
          <w:b/>
          <w:bCs/>
          <w:noProof w:val="0"/>
          <w:color w:val="000000"/>
          <w:rtl/>
        </w:rPr>
        <w:t xml:space="preserve"> על ידה לגבי מכירת נכסים אחרים. ועדיין אין כאן אלא כוונה שיתכן שתקום אולם תקום. </w:t>
      </w:r>
      <w:r>
        <w:rPr>
          <w:rFonts w:ascii="David" w:hAnsi="David"/>
          <w:b/>
          <w:bCs/>
          <w:noProof w:val="0"/>
          <w:color w:val="000000"/>
          <w:u w:val="single"/>
          <w:rtl/>
        </w:rPr>
        <w:t xml:space="preserve">ובכוונה, כאמור, אינה </w:t>
      </w:r>
      <w:proofErr w:type="spellStart"/>
      <w:r>
        <w:rPr>
          <w:rFonts w:ascii="David" w:hAnsi="David"/>
          <w:b/>
          <w:bCs/>
          <w:noProof w:val="0"/>
          <w:color w:val="000000"/>
          <w:u w:val="single"/>
          <w:rtl/>
        </w:rPr>
        <w:t>ארוע</w:t>
      </w:r>
      <w:proofErr w:type="spellEnd"/>
      <w:r>
        <w:rPr>
          <w:rFonts w:ascii="David" w:hAnsi="David"/>
          <w:b/>
          <w:bCs/>
          <w:noProof w:val="0"/>
          <w:color w:val="000000"/>
          <w:u w:val="single"/>
          <w:rtl/>
        </w:rPr>
        <w:t xml:space="preserve"> מס</w:t>
      </w:r>
      <w:r>
        <w:rPr>
          <w:rFonts w:ascii="David" w:hAnsi="David"/>
          <w:b/>
          <w:bCs/>
          <w:noProof w:val="0"/>
          <w:color w:val="000000"/>
          <w:rtl/>
        </w:rPr>
        <w:t>.</w:t>
      </w:r>
    </w:p>
    <w:p w14:paraId="59665F78" w14:textId="77777777" w:rsidR="00BB183F" w:rsidRDefault="00BB183F" w:rsidP="00BB183F">
      <w:pPr>
        <w:spacing w:line="360" w:lineRule="auto"/>
        <w:ind w:left="1417"/>
        <w:jc w:val="both"/>
        <w:rPr>
          <w:rFonts w:ascii="David" w:hAnsi="David"/>
          <w:b/>
          <w:bCs/>
          <w:noProof w:val="0"/>
        </w:rPr>
      </w:pPr>
      <w:r>
        <w:rPr>
          <w:rFonts w:ascii="David" w:hAnsi="David"/>
          <w:b/>
          <w:bCs/>
          <w:noProof w:val="0"/>
          <w:rtl/>
        </w:rPr>
        <w:t>[...]</w:t>
      </w:r>
    </w:p>
    <w:p w14:paraId="47695A28" w14:textId="77777777" w:rsidR="00BB183F" w:rsidRDefault="00BB183F" w:rsidP="00BB183F">
      <w:pPr>
        <w:spacing w:line="360" w:lineRule="auto"/>
        <w:ind w:left="1417"/>
        <w:jc w:val="both"/>
        <w:rPr>
          <w:rFonts w:ascii="David" w:hAnsi="David"/>
          <w:noProof w:val="0"/>
          <w:rtl/>
        </w:rPr>
      </w:pPr>
      <w:r>
        <w:rPr>
          <w:rFonts w:ascii="David" w:hAnsi="David"/>
          <w:b/>
          <w:bCs/>
          <w:color w:val="000000"/>
          <w:shd w:val="clear" w:color="auto" w:fill="FFFFFF"/>
          <w:rtl/>
        </w:rPr>
        <w:t xml:space="preserve">אני סבור כי </w:t>
      </w:r>
      <w:r>
        <w:rPr>
          <w:rFonts w:ascii="David" w:hAnsi="David"/>
          <w:b/>
          <w:bCs/>
          <w:color w:val="000000"/>
          <w:u w:val="single"/>
          <w:shd w:val="clear" w:color="auto" w:fill="FFFFFF"/>
          <w:rtl/>
        </w:rPr>
        <w:t>סימן חיצוני להפיכת מלאי עסקי לנכס קבוע הוא מעשה השימוש באותו נכס המצביע כי מעתה ואילך אין הוא עוד נכס עסקי.</w:t>
      </w:r>
      <w:r>
        <w:rPr>
          <w:rFonts w:ascii="David" w:hAnsi="David"/>
          <w:b/>
          <w:bCs/>
          <w:color w:val="000000"/>
          <w:shd w:val="clear" w:color="auto" w:fill="FFFFFF"/>
          <w:rtl/>
        </w:rPr>
        <w:t xml:space="preserve"> ארוע מס לפי סעיף 85 מתגבש באותו מעשה</w:t>
      </w:r>
      <w:r>
        <w:rPr>
          <w:rFonts w:ascii="David" w:hAnsi="David"/>
          <w:b/>
          <w:bCs/>
          <w:color w:val="000000"/>
          <w:shd w:val="clear" w:color="auto" w:fill="FFFFFF"/>
        </w:rPr>
        <w:t>.</w:t>
      </w:r>
      <w:r>
        <w:rPr>
          <w:rFonts w:ascii="David" w:hAnsi="David"/>
          <w:b/>
          <w:bCs/>
          <w:noProof w:val="0"/>
          <w:rtl/>
        </w:rPr>
        <w:t xml:space="preserve">" </w:t>
      </w:r>
      <w:r>
        <w:rPr>
          <w:rFonts w:ascii="David" w:hAnsi="David"/>
          <w:noProof w:val="0"/>
          <w:rtl/>
        </w:rPr>
        <w:t>(עמוד 4 לפסק הדין, ההדגשות אינן במקור)</w:t>
      </w:r>
    </w:p>
    <w:p w14:paraId="2FB48906" w14:textId="77777777" w:rsidR="00BB183F" w:rsidRDefault="00BB183F" w:rsidP="00BB183F">
      <w:pPr>
        <w:pStyle w:val="ad"/>
        <w:rPr>
          <w:rFonts w:ascii="Arial" w:hAnsi="Arial"/>
          <w:noProof w:val="0"/>
          <w:rtl/>
        </w:rPr>
      </w:pPr>
    </w:p>
    <w:p w14:paraId="3BF97283" w14:textId="77777777" w:rsidR="00BB183F" w:rsidRDefault="00BB183F" w:rsidP="00BB183F">
      <w:pPr>
        <w:pStyle w:val="ad"/>
        <w:numPr>
          <w:ilvl w:val="0"/>
          <w:numId w:val="1"/>
        </w:numPr>
        <w:spacing w:line="360" w:lineRule="auto"/>
        <w:jc w:val="both"/>
        <w:rPr>
          <w:rFonts w:ascii="Arial" w:hAnsi="Arial"/>
          <w:noProof w:val="0"/>
          <w:rtl/>
        </w:rPr>
      </w:pPr>
      <w:r>
        <w:rPr>
          <w:rFonts w:ascii="David" w:hAnsi="David"/>
          <w:rtl/>
        </w:rPr>
        <w:t>ברוח דברים אלו, הפנה ב"כ המערעים לקובץ הפרשנות לפקודת מס הכנסה (החבק) הדן בסעיף 85, כפי שנכתב שם, "</w:t>
      </w:r>
      <w:r>
        <w:rPr>
          <w:rFonts w:ascii="David" w:hAnsi="David"/>
          <w:b/>
          <w:bCs/>
          <w:rtl/>
        </w:rPr>
        <w:t xml:space="preserve">כאשר טוען נישום שהפך מלאי עסקי בעסקו לנכס קבוע [...] יראו את המלאי כנמכר במועד שבו </w:t>
      </w:r>
      <w:r>
        <w:rPr>
          <w:rFonts w:ascii="David" w:hAnsi="David"/>
          <w:b/>
          <w:bCs/>
          <w:u w:val="single"/>
          <w:rtl/>
        </w:rPr>
        <w:t>מימש הנישום את כוונתו בפועל, ועל הנישום להוכיח זאת על ידי ראיות חיצוניות</w:t>
      </w:r>
      <w:r>
        <w:rPr>
          <w:rFonts w:ascii="David" w:hAnsi="David"/>
          <w:rtl/>
        </w:rPr>
        <w:t>" (הדגשות אינן במקור). נראה</w:t>
      </w:r>
      <w:r w:rsidR="00D95835">
        <w:rPr>
          <w:rFonts w:ascii="David" w:hAnsi="David" w:hint="cs"/>
          <w:rtl/>
        </w:rPr>
        <w:t>,</w:t>
      </w:r>
      <w:r>
        <w:rPr>
          <w:rFonts w:ascii="David" w:hAnsi="David"/>
          <w:rtl/>
        </w:rPr>
        <w:t xml:space="preserve"> אפוא, כי בביצוע הבחינה לקיומו של שינוי ייעוד אין להסתפק בקביעה כללית לגבי אופן הרישום במאזן, אלא המהות היא שתכריע.</w:t>
      </w:r>
    </w:p>
    <w:p w14:paraId="6BAAE26E" w14:textId="77777777" w:rsidR="00BB183F" w:rsidRDefault="00BB183F" w:rsidP="00BB183F">
      <w:pPr>
        <w:pStyle w:val="ad"/>
        <w:spacing w:line="360" w:lineRule="auto"/>
        <w:jc w:val="both"/>
        <w:rPr>
          <w:rFonts w:ascii="Arial" w:hAnsi="Arial"/>
          <w:noProof w:val="0"/>
          <w:rtl/>
        </w:rPr>
      </w:pPr>
    </w:p>
    <w:p w14:paraId="15BD83CF" w14:textId="77777777" w:rsidR="00BB183F" w:rsidRDefault="00BB183F" w:rsidP="00BB183F">
      <w:pPr>
        <w:pStyle w:val="ad"/>
        <w:numPr>
          <w:ilvl w:val="0"/>
          <w:numId w:val="1"/>
        </w:numPr>
        <w:spacing w:line="360" w:lineRule="auto"/>
        <w:jc w:val="both"/>
        <w:rPr>
          <w:rFonts w:ascii="Arial" w:hAnsi="Arial"/>
          <w:noProof w:val="0"/>
          <w:rtl/>
        </w:rPr>
      </w:pPr>
      <w:r>
        <w:rPr>
          <w:rFonts w:ascii="Arial" w:hAnsi="Arial"/>
          <w:noProof w:val="0"/>
          <w:rtl/>
        </w:rPr>
        <w:t xml:space="preserve">המערערים הטיבו לספק ראיות חיצוניות מהן עולה כי נהגו הלכה למעשה במקרקעין כרכוש קבוע החל משנת 1997. ראיות אלו מלמדות כי רישום המערערים בדוחות לא יכול לעמוד ב"חלל ריק" וכי הרישום עומד בסתירה לכוונות המערערים ולפעולות שביקשו לבצע בנכס. טענה דומה עלתה </w:t>
      </w:r>
      <w:proofErr w:type="spellStart"/>
      <w:r>
        <w:rPr>
          <w:rFonts w:ascii="Arial" w:hAnsi="Arial"/>
          <w:noProof w:val="0"/>
          <w:rtl/>
        </w:rPr>
        <w:t>בעמ"ה</w:t>
      </w:r>
      <w:proofErr w:type="spellEnd"/>
      <w:r>
        <w:rPr>
          <w:rFonts w:ascii="Arial" w:hAnsi="Arial"/>
          <w:noProof w:val="0"/>
          <w:rtl/>
        </w:rPr>
        <w:t xml:space="preserve"> (י-ם) 2/91 </w:t>
      </w:r>
      <w:r>
        <w:rPr>
          <w:rFonts w:ascii="Arial" w:hAnsi="Arial"/>
          <w:b/>
          <w:bCs/>
          <w:noProof w:val="0"/>
          <w:rtl/>
        </w:rPr>
        <w:t>קול משה נ' פקיד השומה ירושלים</w:t>
      </w:r>
      <w:r>
        <w:rPr>
          <w:rFonts w:ascii="Arial" w:hAnsi="Arial"/>
          <w:noProof w:val="0"/>
          <w:rtl/>
        </w:rPr>
        <w:t xml:space="preserve"> (27.9.1993): </w:t>
      </w:r>
    </w:p>
    <w:p w14:paraId="22765AC4" w14:textId="77777777" w:rsidR="00BB183F" w:rsidRDefault="00BB183F" w:rsidP="00BB183F">
      <w:pPr>
        <w:pStyle w:val="ad"/>
        <w:rPr>
          <w:rFonts w:ascii="Arial" w:hAnsi="Arial"/>
          <w:noProof w:val="0"/>
        </w:rPr>
      </w:pPr>
    </w:p>
    <w:p w14:paraId="3184DE61" w14:textId="77777777" w:rsidR="00BB183F" w:rsidRDefault="00BB183F" w:rsidP="00BB183F">
      <w:pPr>
        <w:shd w:val="clear" w:color="auto" w:fill="FFFFFF"/>
        <w:spacing w:line="300" w:lineRule="atLeast"/>
        <w:ind w:left="1417"/>
        <w:jc w:val="both"/>
        <w:rPr>
          <w:rFonts w:cs="Times New Roman"/>
          <w:noProof w:val="0"/>
          <w:color w:val="000000"/>
          <w:sz w:val="20"/>
          <w:szCs w:val="20"/>
          <w:rtl/>
        </w:rPr>
      </w:pPr>
      <w:r>
        <w:rPr>
          <w:rFonts w:ascii="David" w:hAnsi="David"/>
          <w:b/>
          <w:bCs/>
          <w:color w:val="000000"/>
          <w:rtl/>
        </w:rPr>
        <w:t xml:space="preserve">"טוען עורך דין ד' נייגר בשם המערער, שציון הנכס במאזנים כנכס עיסקי  נעשה בטעות וכי המערער לא היה חייב כלל בהגשת מאזנים ולכן אין לייחס חשיבות לרישומים מוטעים במאזנים מיותרים. מה גם, </w:t>
      </w:r>
      <w:r>
        <w:rPr>
          <w:rFonts w:ascii="David" w:hAnsi="David"/>
          <w:b/>
          <w:bCs/>
          <w:color w:val="000000"/>
          <w:u w:val="single"/>
          <w:rtl/>
        </w:rPr>
        <w:t>שכבר נקבע בפסיקה לא אחת שלא הכותרת במאזן היא הקובעת את מהות הנכס או ההשקעה, אלא השימוש בפועל</w:t>
      </w:r>
      <w:r>
        <w:rPr>
          <w:rFonts w:ascii="David" w:hAnsi="David"/>
          <w:b/>
          <w:bCs/>
          <w:color w:val="000000"/>
          <w:rtl/>
        </w:rPr>
        <w:t>."</w:t>
      </w:r>
      <w:r>
        <w:rPr>
          <w:rFonts w:ascii="David" w:hAnsi="David"/>
          <w:color w:val="000000"/>
          <w:rtl/>
        </w:rPr>
        <w:t xml:space="preserve"> (פסקה 4.ד לפסק דינו של כב' השופט צ. טל, ההדגשות אינן במקור)</w:t>
      </w:r>
    </w:p>
    <w:p w14:paraId="51540C86" w14:textId="77777777" w:rsidR="00BB183F" w:rsidRDefault="00BB183F" w:rsidP="00BB183F">
      <w:pPr>
        <w:shd w:val="clear" w:color="auto" w:fill="FFFFFF"/>
        <w:spacing w:line="300" w:lineRule="atLeast"/>
        <w:ind w:left="1417"/>
        <w:jc w:val="both"/>
        <w:rPr>
          <w:color w:val="000000"/>
          <w:sz w:val="20"/>
          <w:szCs w:val="20"/>
        </w:rPr>
      </w:pPr>
      <w:r>
        <w:rPr>
          <w:rFonts w:ascii="David" w:hAnsi="David"/>
          <w:color w:val="000000"/>
          <w:rtl/>
        </w:rPr>
        <w:t> </w:t>
      </w:r>
    </w:p>
    <w:p w14:paraId="20714FFE" w14:textId="77777777" w:rsidR="00BB183F" w:rsidRDefault="00BB183F" w:rsidP="004E306B">
      <w:pPr>
        <w:pStyle w:val="ad"/>
        <w:numPr>
          <w:ilvl w:val="0"/>
          <w:numId w:val="1"/>
        </w:numPr>
        <w:spacing w:line="360" w:lineRule="auto"/>
        <w:jc w:val="both"/>
        <w:rPr>
          <w:rFonts w:ascii="Arial" w:hAnsi="Arial"/>
          <w:noProof w:val="0"/>
          <w:rtl/>
        </w:rPr>
      </w:pPr>
      <w:r>
        <w:rPr>
          <w:rFonts w:ascii="Arial" w:hAnsi="Arial"/>
          <w:noProof w:val="0"/>
          <w:rtl/>
        </w:rPr>
        <w:t>בין הראיות שהציגו המערערים לבית המ</w:t>
      </w:r>
      <w:r w:rsidR="004E306B">
        <w:rPr>
          <w:rFonts w:ascii="Arial" w:hAnsi="Arial" w:hint="cs"/>
          <w:noProof w:val="0"/>
          <w:rtl/>
        </w:rPr>
        <w:t>ש</w:t>
      </w:r>
      <w:r>
        <w:rPr>
          <w:rFonts w:ascii="Arial" w:hAnsi="Arial"/>
          <w:noProof w:val="0"/>
          <w:rtl/>
        </w:rPr>
        <w:t>פט אפשר למנות:</w:t>
      </w:r>
    </w:p>
    <w:p w14:paraId="3616788C" w14:textId="77777777" w:rsidR="00BB183F" w:rsidRDefault="00BB183F" w:rsidP="004E306B">
      <w:pPr>
        <w:pStyle w:val="ad"/>
        <w:numPr>
          <w:ilvl w:val="0"/>
          <w:numId w:val="2"/>
        </w:numPr>
        <w:spacing w:line="360" w:lineRule="auto"/>
        <w:jc w:val="both"/>
        <w:rPr>
          <w:rFonts w:ascii="Arial" w:hAnsi="Arial"/>
          <w:noProof w:val="0"/>
        </w:rPr>
      </w:pPr>
      <w:proofErr w:type="spellStart"/>
      <w:r>
        <w:rPr>
          <w:rFonts w:ascii="Arial" w:hAnsi="Arial"/>
          <w:noProof w:val="0"/>
          <w:rtl/>
        </w:rPr>
        <w:t>בתכניות</w:t>
      </w:r>
      <w:proofErr w:type="spellEnd"/>
      <w:r>
        <w:rPr>
          <w:rFonts w:ascii="Arial" w:hAnsi="Arial"/>
          <w:noProof w:val="0"/>
          <w:rtl/>
        </w:rPr>
        <w:t xml:space="preserve"> הבנייה שהוגשו לעירייה, נרשמה מטרת הבניה במפורש כבנייה להשכרה, כאשר היתר הבנייה ניתן ביום 16.12.97 (ראו נספח ג' לתצהיר העדות הראשי</w:t>
      </w:r>
      <w:r w:rsidR="004E306B">
        <w:rPr>
          <w:rFonts w:ascii="Arial" w:hAnsi="Arial" w:hint="cs"/>
          <w:noProof w:val="0"/>
          <w:rtl/>
        </w:rPr>
        <w:t>ת מטעם המערערים</w:t>
      </w:r>
      <w:r>
        <w:rPr>
          <w:rFonts w:ascii="Arial" w:hAnsi="Arial"/>
          <w:noProof w:val="0"/>
          <w:rtl/>
        </w:rPr>
        <w:t>, עמוד 23).</w:t>
      </w:r>
    </w:p>
    <w:p w14:paraId="171B7252" w14:textId="77777777" w:rsidR="00BB183F" w:rsidRDefault="00BB183F" w:rsidP="00BB183F">
      <w:pPr>
        <w:pStyle w:val="ad"/>
        <w:numPr>
          <w:ilvl w:val="0"/>
          <w:numId w:val="2"/>
        </w:numPr>
        <w:spacing w:line="360" w:lineRule="auto"/>
        <w:jc w:val="both"/>
        <w:rPr>
          <w:rFonts w:ascii="Arial" w:hAnsi="Arial"/>
          <w:noProof w:val="0"/>
        </w:rPr>
      </w:pPr>
      <w:r>
        <w:rPr>
          <w:rFonts w:ascii="Arial" w:hAnsi="Arial"/>
          <w:noProof w:val="0"/>
          <w:rtl/>
        </w:rPr>
        <w:t>התברר כי כבר משהחלו בבניית הפרויקט הוצג שלט באתר הבנייה בו נאמר "כאן נבנה בית מגורים להשכרה".</w:t>
      </w:r>
    </w:p>
    <w:p w14:paraId="12FD7701" w14:textId="77777777" w:rsidR="00BB183F" w:rsidRDefault="00BB183F" w:rsidP="004E306B">
      <w:pPr>
        <w:pStyle w:val="ad"/>
        <w:numPr>
          <w:ilvl w:val="0"/>
          <w:numId w:val="2"/>
        </w:numPr>
        <w:spacing w:line="360" w:lineRule="auto"/>
        <w:jc w:val="both"/>
        <w:rPr>
          <w:rFonts w:ascii="Arial" w:hAnsi="Arial"/>
          <w:noProof w:val="0"/>
        </w:rPr>
      </w:pPr>
      <w:r>
        <w:rPr>
          <w:rFonts w:ascii="Arial" w:hAnsi="Arial"/>
          <w:noProof w:val="0"/>
          <w:rtl/>
        </w:rPr>
        <w:lastRenderedPageBreak/>
        <w:t>בדוחות השנתיים החל משנת 1999 ואילך צוין במפורש שמדובר בפרויקט להשכרה ולא למכירה (ראו נספח ד' לתצהיר העדות הראשי</w:t>
      </w:r>
      <w:r w:rsidR="004E306B">
        <w:rPr>
          <w:rFonts w:ascii="Arial" w:hAnsi="Arial" w:hint="cs"/>
          <w:noProof w:val="0"/>
          <w:rtl/>
        </w:rPr>
        <w:t>ת מטעם המערערים</w:t>
      </w:r>
      <w:r>
        <w:rPr>
          <w:rFonts w:ascii="Arial" w:hAnsi="Arial"/>
          <w:noProof w:val="0"/>
          <w:rtl/>
        </w:rPr>
        <w:t>).</w:t>
      </w:r>
    </w:p>
    <w:p w14:paraId="20CB1238" w14:textId="77777777" w:rsidR="00BB183F" w:rsidRDefault="00BB183F" w:rsidP="00BB183F">
      <w:pPr>
        <w:pStyle w:val="ad"/>
        <w:numPr>
          <w:ilvl w:val="0"/>
          <w:numId w:val="2"/>
        </w:numPr>
        <w:spacing w:line="360" w:lineRule="auto"/>
        <w:jc w:val="both"/>
        <w:rPr>
          <w:rFonts w:ascii="Arial" w:hAnsi="Arial"/>
          <w:noProof w:val="0"/>
        </w:rPr>
      </w:pPr>
      <w:r>
        <w:rPr>
          <w:rFonts w:ascii="Arial" w:hAnsi="Arial"/>
          <w:noProof w:val="0"/>
          <w:rtl/>
        </w:rPr>
        <w:t>נעשתה פניה בתאריך 5.4.1998 למשרד הקליטה במסגרתה הציעו המערערים את הבניינים להשכרה (נספח ג', לעיל)</w:t>
      </w:r>
    </w:p>
    <w:p w14:paraId="2986B24E" w14:textId="77777777" w:rsidR="00BB183F" w:rsidRDefault="00BB183F" w:rsidP="00BB183F">
      <w:pPr>
        <w:pStyle w:val="ad"/>
        <w:numPr>
          <w:ilvl w:val="0"/>
          <w:numId w:val="2"/>
        </w:numPr>
        <w:spacing w:line="360" w:lineRule="auto"/>
        <w:jc w:val="both"/>
        <w:rPr>
          <w:rFonts w:ascii="Arial" w:hAnsi="Arial"/>
          <w:noProof w:val="0"/>
        </w:rPr>
      </w:pPr>
      <w:r>
        <w:rPr>
          <w:rFonts w:ascii="Arial" w:hAnsi="Arial"/>
          <w:noProof w:val="0"/>
          <w:rtl/>
        </w:rPr>
        <w:t xml:space="preserve"> </w:t>
      </w:r>
      <w:r>
        <w:rPr>
          <w:rFonts w:ascii="Arial" w:hAnsi="Arial" w:hint="cs"/>
          <w:noProof w:val="0"/>
          <w:rtl/>
        </w:rPr>
        <w:t xml:space="preserve">המערערים פנו למתווכים שונים לשם השכרת הפרויקט. בתאריך 14.9.1998 נעשתה פנייה למתווך אליהו </w:t>
      </w:r>
      <w:proofErr w:type="spellStart"/>
      <w:r>
        <w:rPr>
          <w:rFonts w:ascii="Arial" w:hAnsi="Arial" w:hint="cs"/>
          <w:noProof w:val="0"/>
          <w:rtl/>
        </w:rPr>
        <w:t>טלמון</w:t>
      </w:r>
      <w:proofErr w:type="spellEnd"/>
      <w:r>
        <w:rPr>
          <w:rFonts w:ascii="Arial" w:hAnsi="Arial" w:hint="cs"/>
          <w:noProof w:val="0"/>
          <w:rtl/>
        </w:rPr>
        <w:t>, ובתאריך 27.7.2000 נעשתה פנייה למתווך אבי ניר.</w:t>
      </w:r>
    </w:p>
    <w:p w14:paraId="2F732A83" w14:textId="77777777" w:rsidR="00BB183F" w:rsidRDefault="00BB183F" w:rsidP="00BB183F">
      <w:pPr>
        <w:pStyle w:val="ad"/>
        <w:numPr>
          <w:ilvl w:val="0"/>
          <w:numId w:val="2"/>
        </w:numPr>
        <w:spacing w:line="360" w:lineRule="auto"/>
        <w:jc w:val="both"/>
        <w:rPr>
          <w:rFonts w:ascii="Arial" w:hAnsi="Arial"/>
          <w:noProof w:val="0"/>
        </w:rPr>
      </w:pPr>
      <w:r>
        <w:rPr>
          <w:rFonts w:ascii="Arial" w:hAnsi="Arial"/>
          <w:noProof w:val="0"/>
          <w:rtl/>
        </w:rPr>
        <w:t xml:space="preserve"> </w:t>
      </w:r>
      <w:r>
        <w:rPr>
          <w:rFonts w:ascii="Arial" w:hAnsi="Arial" w:hint="cs"/>
          <w:noProof w:val="0"/>
          <w:rtl/>
        </w:rPr>
        <w:t>נעשתה גם פניה מיום 26.6.2001 למנהלת בקעה (השכונה בה ממוקם הפרויקט) להצעת הבניינים להשכרה.</w:t>
      </w:r>
    </w:p>
    <w:p w14:paraId="7032A4B3" w14:textId="77777777" w:rsidR="00BB183F" w:rsidRDefault="00BB183F" w:rsidP="00BB183F">
      <w:pPr>
        <w:pStyle w:val="ad"/>
        <w:numPr>
          <w:ilvl w:val="0"/>
          <w:numId w:val="2"/>
        </w:numPr>
        <w:spacing w:line="360" w:lineRule="auto"/>
        <w:jc w:val="both"/>
        <w:rPr>
          <w:rFonts w:ascii="Arial" w:hAnsi="Arial"/>
          <w:noProof w:val="0"/>
        </w:rPr>
      </w:pPr>
      <w:r>
        <w:rPr>
          <w:rFonts w:ascii="Arial" w:hAnsi="Arial"/>
          <w:noProof w:val="0"/>
          <w:rtl/>
        </w:rPr>
        <w:t>המערערים פנו בהקשר השכירות לבנקים שונים, כך למשל נעשתה פניה מיום 20.10.2002 לבנק מזרחי בבקשה למתן מימון לסיום הבניה להשכרה, (ראו נספח ג' לעיל, עמוד 25); ופניה מיום 18.6.2002 לבנק לאומי בבקשה דומה.</w:t>
      </w:r>
    </w:p>
    <w:p w14:paraId="61E5614F" w14:textId="77777777" w:rsidR="00BB183F" w:rsidRDefault="00BB183F" w:rsidP="00BB183F">
      <w:pPr>
        <w:pStyle w:val="ad"/>
        <w:numPr>
          <w:ilvl w:val="0"/>
          <w:numId w:val="2"/>
        </w:numPr>
        <w:spacing w:line="360" w:lineRule="auto"/>
        <w:jc w:val="both"/>
        <w:rPr>
          <w:rFonts w:ascii="Arial" w:hAnsi="Arial"/>
          <w:noProof w:val="0"/>
        </w:rPr>
      </w:pPr>
      <w:r>
        <w:rPr>
          <w:rFonts w:ascii="Arial" w:hAnsi="Arial"/>
          <w:noProof w:val="0"/>
          <w:rtl/>
        </w:rPr>
        <w:t xml:space="preserve">בחודש דצמבר 2006 פנו המערערים ואף התקשרו בהסכם הזמנת שירותי תיווך להשכרת הנכס לסוכנות היהודית. </w:t>
      </w:r>
    </w:p>
    <w:p w14:paraId="37D2FE53" w14:textId="77777777" w:rsidR="00BB183F" w:rsidRDefault="00BB183F" w:rsidP="00BB183F">
      <w:pPr>
        <w:pStyle w:val="ad"/>
        <w:rPr>
          <w:rFonts w:ascii="Arial" w:hAnsi="Arial"/>
          <w:noProof w:val="0"/>
        </w:rPr>
      </w:pPr>
    </w:p>
    <w:p w14:paraId="34737BD6" w14:textId="77777777" w:rsidR="00BB183F" w:rsidRDefault="00BB183F" w:rsidP="00BB183F">
      <w:pPr>
        <w:pStyle w:val="ad"/>
        <w:numPr>
          <w:ilvl w:val="0"/>
          <w:numId w:val="1"/>
        </w:numPr>
        <w:spacing w:line="360" w:lineRule="auto"/>
        <w:jc w:val="both"/>
        <w:rPr>
          <w:rFonts w:ascii="Arial" w:hAnsi="Arial"/>
          <w:noProof w:val="0"/>
          <w:rtl/>
        </w:rPr>
      </w:pPr>
      <w:r>
        <w:rPr>
          <w:rFonts w:ascii="Arial" w:hAnsi="Arial"/>
          <w:noProof w:val="0"/>
          <w:rtl/>
        </w:rPr>
        <w:t xml:space="preserve">כמו כן, המערערים נקטו בפעולות מגוונות אשר גם בהן יש כדי ללמד על כך שנהגו במקרקעין כברכוש קבוע. כך, לדוגמה, הגשת בקשה לאישור מרכז ההשקעות להשכרת המבנה לפי חוק עידוד השקעות הון, </w:t>
      </w:r>
      <w:proofErr w:type="spellStart"/>
      <w:r>
        <w:rPr>
          <w:rFonts w:ascii="Arial" w:hAnsi="Arial"/>
          <w:noProof w:val="0"/>
          <w:rtl/>
        </w:rPr>
        <w:t>התשי"ט</w:t>
      </w:r>
      <w:proofErr w:type="spellEnd"/>
      <w:r>
        <w:rPr>
          <w:rFonts w:ascii="Arial" w:hAnsi="Arial"/>
          <w:noProof w:val="0"/>
          <w:rtl/>
        </w:rPr>
        <w:t xml:space="preserve">- 1959 (להלן: </w:t>
      </w:r>
      <w:r>
        <w:rPr>
          <w:rFonts w:ascii="Arial" w:hAnsi="Arial"/>
          <w:b/>
          <w:bCs/>
          <w:noProof w:val="0"/>
          <w:rtl/>
        </w:rPr>
        <w:t>חוק העידוד</w:t>
      </w:r>
      <w:r>
        <w:rPr>
          <w:rFonts w:ascii="Arial" w:hAnsi="Arial"/>
          <w:noProof w:val="0"/>
          <w:rtl/>
        </w:rPr>
        <w:t>), המצריכה החזקת נכס כרכוש קבוע. בנוסף, החל משנת 1999 צוין בדוחות השנתיים במפורש שמדובר בפרויקט להשכרה ולא למכירה. מעל לכל מתנוססת העובדה כי המערערים אוחזים במקרקעין החל משנת 1987, כאשר יש בהחזקה במשך 36 שנים כדי ללמד על היות הנכס משמש כרכוש קבוע.</w:t>
      </w:r>
    </w:p>
    <w:p w14:paraId="4D6297BC" w14:textId="77777777" w:rsidR="00BB183F" w:rsidRDefault="00BB183F" w:rsidP="00BB183F">
      <w:pPr>
        <w:pStyle w:val="ad"/>
        <w:rPr>
          <w:rFonts w:ascii="Arial" w:hAnsi="Arial"/>
          <w:noProof w:val="0"/>
        </w:rPr>
      </w:pPr>
    </w:p>
    <w:p w14:paraId="5A63DCB7" w14:textId="77777777" w:rsidR="00BB183F" w:rsidRDefault="00BB183F" w:rsidP="00BB183F">
      <w:pPr>
        <w:pStyle w:val="ad"/>
        <w:numPr>
          <w:ilvl w:val="0"/>
          <w:numId w:val="1"/>
        </w:numPr>
        <w:spacing w:line="360" w:lineRule="auto"/>
        <w:jc w:val="both"/>
        <w:rPr>
          <w:rFonts w:ascii="Arial" w:hAnsi="Arial"/>
          <w:noProof w:val="0"/>
          <w:rtl/>
        </w:rPr>
      </w:pPr>
      <w:r>
        <w:rPr>
          <w:rFonts w:ascii="Arial" w:hAnsi="Arial"/>
          <w:noProof w:val="0"/>
          <w:rtl/>
        </w:rPr>
        <w:t>בתצהיר העדות הראשית מטעם המערערים הצהיר אליהו ידיד כי "</w:t>
      </w:r>
      <w:r>
        <w:rPr>
          <w:rFonts w:ascii="Arial" w:hAnsi="Arial"/>
          <w:b/>
          <w:bCs/>
          <w:noProof w:val="0"/>
          <w:rtl/>
        </w:rPr>
        <w:t>ומאז רכישתה פעלנו לצורך השכרתה לתקופה ארוכה [...] שלהבנתי כלל לא בוצע שינוי ייעוד, אך אם בוצע שינוי שכזה הוא בוצע בשנת 1997, כלומר במועד קבלת האישור לפי חוק עידוד השקעות הון</w:t>
      </w:r>
      <w:r>
        <w:rPr>
          <w:rFonts w:ascii="Arial" w:hAnsi="Arial"/>
          <w:noProof w:val="0"/>
          <w:rtl/>
        </w:rPr>
        <w:t>" (סעיפים 9-10 לתצהיר). בהמשך כותב המערער 2 כי "</w:t>
      </w:r>
      <w:r>
        <w:rPr>
          <w:rFonts w:ascii="Arial" w:hAnsi="Arial"/>
          <w:b/>
          <w:bCs/>
          <w:noProof w:val="0"/>
          <w:rtl/>
        </w:rPr>
        <w:t>בדו"ח השנתי לשנת 2013 של השותפות הרשומה נרשם הנכס כ"רכוש קבוע". יחד עם זאת אין ברישום האמור משום שינוי ביחס אל המקרקעין. אדגיש כי נהגנו במקרקעין האמורים כפי שנוהגים ברכוש קבוע עוד משנת 1997. כוונתנו ביחס למקרקעין לא השתנתה מאז ועד להגשת הדו"ח לשנת 2013</w:t>
      </w:r>
      <w:r>
        <w:rPr>
          <w:rFonts w:ascii="Arial" w:hAnsi="Arial"/>
          <w:noProof w:val="0"/>
          <w:rtl/>
        </w:rPr>
        <w:t>" (שם, סעיף 17). לדעת המשיב, בדברים אלו הציגו המערערים עמדות סותרות ביחס למצב המקרקעין, אך יותר נכון יהיה לאפיין דברים אמורים אלו כטענות חלופיות, לגביהן אין בעייתיות מבחינת הדין.</w:t>
      </w:r>
    </w:p>
    <w:p w14:paraId="44173504" w14:textId="77777777" w:rsidR="00BB183F" w:rsidRDefault="00BB183F" w:rsidP="00BB183F">
      <w:pPr>
        <w:pStyle w:val="ad"/>
        <w:rPr>
          <w:rFonts w:ascii="Arial" w:hAnsi="Arial"/>
          <w:noProof w:val="0"/>
        </w:rPr>
      </w:pPr>
    </w:p>
    <w:p w14:paraId="4959C0CE" w14:textId="77777777" w:rsidR="00BB183F" w:rsidRDefault="00BB183F" w:rsidP="00BB183F">
      <w:pPr>
        <w:pStyle w:val="ad"/>
        <w:numPr>
          <w:ilvl w:val="0"/>
          <w:numId w:val="1"/>
        </w:numPr>
        <w:spacing w:line="360" w:lineRule="auto"/>
        <w:jc w:val="both"/>
        <w:rPr>
          <w:rFonts w:ascii="Arial" w:hAnsi="Arial"/>
          <w:noProof w:val="0"/>
          <w:rtl/>
        </w:rPr>
      </w:pPr>
      <w:r>
        <w:rPr>
          <w:rFonts w:ascii="Arial" w:hAnsi="Arial"/>
          <w:noProof w:val="0"/>
          <w:rtl/>
        </w:rPr>
        <w:t>לא למותר לציין כי במהלך הדיונים לא הצליח המשיב לסתור דברים אלו, כאשר בחקירתו הנגדית אמר המערער 2 כך:</w:t>
      </w:r>
    </w:p>
    <w:p w14:paraId="13467D53" w14:textId="77777777" w:rsidR="00BB183F" w:rsidRDefault="00BB183F" w:rsidP="00BB183F">
      <w:pPr>
        <w:spacing w:line="360" w:lineRule="auto"/>
        <w:jc w:val="both"/>
        <w:rPr>
          <w:rFonts w:ascii="Arial" w:hAnsi="Arial"/>
          <w:noProof w:val="0"/>
        </w:rPr>
      </w:pPr>
    </w:p>
    <w:p w14:paraId="12428E81" w14:textId="77777777" w:rsidR="00BB183F" w:rsidRDefault="00BB183F" w:rsidP="00BB183F">
      <w:pPr>
        <w:widowControl w:val="0"/>
        <w:tabs>
          <w:tab w:val="left" w:pos="1699"/>
        </w:tabs>
        <w:spacing w:line="360" w:lineRule="auto"/>
        <w:ind w:left="1417"/>
        <w:jc w:val="both"/>
        <w:rPr>
          <w:rtl/>
        </w:rPr>
      </w:pPr>
      <w:r>
        <w:rPr>
          <w:rtl/>
        </w:rPr>
        <w:lastRenderedPageBreak/>
        <w:t>"</w:t>
      </w:r>
      <w:r>
        <w:rPr>
          <w:b/>
          <w:bCs/>
          <w:rtl/>
        </w:rPr>
        <w:t>ש:</w:t>
      </w:r>
      <w:r>
        <w:rPr>
          <w:rtl/>
        </w:rPr>
        <w:t xml:space="preserve"> אני מפנה אותך לסעיף 10 בתצהיר הראשון שלך</w:t>
      </w:r>
      <w:bookmarkStart w:id="0" w:name="_ETM_Q_167064"/>
      <w:bookmarkStart w:id="1" w:name="_ETM_Q_165117"/>
      <w:bookmarkEnd w:id="0"/>
      <w:bookmarkEnd w:id="1"/>
    </w:p>
    <w:p w14:paraId="1E61AAEE" w14:textId="77777777" w:rsidR="00BB183F" w:rsidRDefault="00BB183F" w:rsidP="00BB183F">
      <w:pPr>
        <w:widowControl w:val="0"/>
        <w:tabs>
          <w:tab w:val="left" w:pos="1699"/>
        </w:tabs>
        <w:spacing w:line="360" w:lineRule="auto"/>
        <w:ind w:left="1417"/>
        <w:jc w:val="both"/>
      </w:pPr>
      <w:r>
        <w:rPr>
          <w:rtl/>
        </w:rPr>
        <w:t xml:space="preserve"> [...] </w:t>
      </w:r>
    </w:p>
    <w:p w14:paraId="23E72B8D" w14:textId="77777777" w:rsidR="00BB183F" w:rsidRDefault="00BB183F" w:rsidP="00BB183F">
      <w:pPr>
        <w:widowControl w:val="0"/>
        <w:tabs>
          <w:tab w:val="left" w:pos="1699"/>
        </w:tabs>
        <w:spacing w:line="360" w:lineRule="auto"/>
        <w:ind w:left="1417"/>
        <w:jc w:val="both"/>
        <w:rPr>
          <w:noProof w:val="0"/>
        </w:rPr>
      </w:pPr>
      <w:r>
        <w:rPr>
          <w:b/>
          <w:bCs/>
          <w:rtl/>
        </w:rPr>
        <w:t>ש:</w:t>
      </w:r>
      <w:r>
        <w:rPr>
          <w:rtl/>
        </w:rPr>
        <w:t xml:space="preserve"> אני מבקש להבהיר כבר עתה שלהבנתי כלל לא</w:t>
      </w:r>
      <w:bookmarkStart w:id="2" w:name="_ETM_Q_180776"/>
      <w:bookmarkEnd w:id="2"/>
      <w:r>
        <w:rPr>
          <w:rtl/>
        </w:rPr>
        <w:t xml:space="preserve"> בוצע שינוי ייעוד, אך אם בוצע שינוי שכזה,</w:t>
      </w:r>
      <w:bookmarkStart w:id="3" w:name="_ETM_Q_183730"/>
      <w:bookmarkEnd w:id="3"/>
      <w:r>
        <w:rPr>
          <w:rtl/>
        </w:rPr>
        <w:t xml:space="preserve"> הוא בוצע בשנת 97' כלומר במועד קבלת האישור לפי חוק</w:t>
      </w:r>
      <w:bookmarkStart w:id="4" w:name="_ETM_Q_187528"/>
      <w:bookmarkEnd w:id="4"/>
      <w:r>
        <w:rPr>
          <w:rtl/>
        </w:rPr>
        <w:t xml:space="preserve"> ייעוד השקעות (לא ברור) זה הציטוט מהסעיף.</w:t>
      </w:r>
      <w:bookmarkStart w:id="5" w:name="_ETM_Q_193579"/>
      <w:bookmarkEnd w:id="5"/>
    </w:p>
    <w:p w14:paraId="767E97D0" w14:textId="77777777" w:rsidR="00BB183F" w:rsidRDefault="00BB183F" w:rsidP="00BB183F">
      <w:pPr>
        <w:widowControl w:val="0"/>
        <w:tabs>
          <w:tab w:val="left" w:pos="1699"/>
        </w:tabs>
        <w:spacing w:line="360" w:lineRule="auto"/>
        <w:ind w:left="1417"/>
        <w:jc w:val="both"/>
        <w:rPr>
          <w:rtl/>
        </w:rPr>
      </w:pPr>
      <w:r>
        <w:rPr>
          <w:b/>
          <w:bCs/>
          <w:rtl/>
        </w:rPr>
        <w:t>ת:</w:t>
      </w:r>
      <w:r>
        <w:rPr>
          <w:rtl/>
        </w:rPr>
        <w:t xml:space="preserve"> כן.</w:t>
      </w:r>
      <w:bookmarkStart w:id="6" w:name="_ETM_Q_194630"/>
      <w:bookmarkEnd w:id="6"/>
    </w:p>
    <w:p w14:paraId="7192ED5D" w14:textId="77777777" w:rsidR="00BB183F" w:rsidRDefault="00BB183F" w:rsidP="00BB183F">
      <w:pPr>
        <w:widowControl w:val="0"/>
        <w:tabs>
          <w:tab w:val="left" w:pos="1699"/>
        </w:tabs>
        <w:spacing w:line="360" w:lineRule="auto"/>
        <w:ind w:left="1417"/>
        <w:jc w:val="both"/>
        <w:rPr>
          <w:rtl/>
        </w:rPr>
      </w:pPr>
      <w:r>
        <w:rPr>
          <w:b/>
          <w:bCs/>
          <w:rtl/>
        </w:rPr>
        <w:t>ש:</w:t>
      </w:r>
      <w:r>
        <w:rPr>
          <w:rtl/>
        </w:rPr>
        <w:t xml:space="preserve"> ואני שואל אותך בעצם</w:t>
      </w:r>
      <w:bookmarkStart w:id="7" w:name="_ETM_Q_194984"/>
      <w:bookmarkEnd w:id="7"/>
      <w:r>
        <w:rPr>
          <w:rtl/>
        </w:rPr>
        <w:t xml:space="preserve"> לפי הסעיף הזה, בוצע שינוי ייעוד ב-97' או לא בוצע</w:t>
      </w:r>
      <w:bookmarkStart w:id="8" w:name="_ETM_Q_201079"/>
      <w:bookmarkEnd w:id="8"/>
      <w:r>
        <w:rPr>
          <w:rtl/>
        </w:rPr>
        <w:t xml:space="preserve"> שינוי ייעוד ב-97'?</w:t>
      </w:r>
    </w:p>
    <w:p w14:paraId="2CA8EAB8" w14:textId="77777777" w:rsidR="00BB183F" w:rsidRDefault="00BB183F" w:rsidP="00BB183F">
      <w:pPr>
        <w:spacing w:line="360" w:lineRule="auto"/>
        <w:ind w:left="1417"/>
        <w:jc w:val="both"/>
        <w:rPr>
          <w:rFonts w:ascii="Arial" w:hAnsi="Arial"/>
          <w:noProof w:val="0"/>
          <w:rtl/>
        </w:rPr>
      </w:pPr>
      <w:r>
        <w:rPr>
          <w:b/>
          <w:bCs/>
          <w:rtl/>
        </w:rPr>
        <w:t>ת:</w:t>
      </w:r>
      <w:r>
        <w:rPr>
          <w:rtl/>
        </w:rPr>
        <w:tab/>
        <w:t>אני רוצה להסביר על הנקודה הזו משהו</w:t>
      </w:r>
      <w:bookmarkStart w:id="9" w:name="_ETM_Q_205836"/>
      <w:bookmarkEnd w:id="9"/>
      <w:r>
        <w:rPr>
          <w:rtl/>
        </w:rPr>
        <w:t xml:space="preserve"> מאוד מאוד ברור. </w:t>
      </w:r>
      <w:r>
        <w:rPr>
          <w:b/>
          <w:bCs/>
          <w:rtl/>
        </w:rPr>
        <w:t>מיום שאנחנו רכשנו את הקרקע הזו, היא</w:t>
      </w:r>
      <w:bookmarkStart w:id="10" w:name="_ETM_Q_211340"/>
      <w:bookmarkEnd w:id="10"/>
      <w:r>
        <w:rPr>
          <w:b/>
          <w:bCs/>
          <w:rtl/>
        </w:rPr>
        <w:t xml:space="preserve"> הייתה, החלטנו שהיא הולכת להשכרה ולרכוש (לא ברור) כבר</w:t>
      </w:r>
      <w:bookmarkStart w:id="11" w:name="_ETM_Q_220185"/>
      <w:bookmarkEnd w:id="11"/>
      <w:r>
        <w:rPr>
          <w:b/>
          <w:bCs/>
          <w:rtl/>
        </w:rPr>
        <w:t xml:space="preserve"> ביום הראשון. כבר ביום אדוני שאנחנו התחלנו לחפור את המגרש</w:t>
      </w:r>
      <w:bookmarkStart w:id="12" w:name="_ETM_Q_225837"/>
      <w:bookmarkEnd w:id="12"/>
      <w:r>
        <w:rPr>
          <w:b/>
          <w:bCs/>
          <w:rtl/>
        </w:rPr>
        <w:t xml:space="preserve"> הזה אנחנו הצבנו שלט על הקרקע שהדירות בבניין הזה מיועדות</w:t>
      </w:r>
      <w:bookmarkStart w:id="13" w:name="_ETM_Q_230989"/>
      <w:bookmarkEnd w:id="13"/>
      <w:r>
        <w:rPr>
          <w:b/>
          <w:bCs/>
          <w:rtl/>
        </w:rPr>
        <w:t xml:space="preserve"> להשכרה. כל הקשרים שלנו עם המתווכים ועם היועצים הזה </w:t>
      </w:r>
      <w:bookmarkStart w:id="14" w:name="_ETM_Q_242487"/>
      <w:bookmarkEnd w:id="14"/>
      <w:r>
        <w:rPr>
          <w:b/>
          <w:bCs/>
          <w:rtl/>
        </w:rPr>
        <w:t>היו לצורך השכרת הדירות</w:t>
      </w:r>
      <w:r>
        <w:rPr>
          <w:rFonts w:ascii="Arial" w:hAnsi="Arial"/>
          <w:noProof w:val="0"/>
          <w:rtl/>
        </w:rPr>
        <w:t>." (עמוד 9 לפרוטוקול, שורות 8-22, ההדגשות אינן במקור).</w:t>
      </w:r>
    </w:p>
    <w:p w14:paraId="674157E7" w14:textId="77777777" w:rsidR="00BB183F" w:rsidRDefault="00BB183F" w:rsidP="00BB183F">
      <w:pPr>
        <w:spacing w:line="360" w:lineRule="auto"/>
        <w:ind w:left="360"/>
        <w:jc w:val="both"/>
        <w:rPr>
          <w:rFonts w:ascii="Arial" w:hAnsi="Arial"/>
          <w:noProof w:val="0"/>
          <w:rtl/>
        </w:rPr>
      </w:pPr>
    </w:p>
    <w:p w14:paraId="50D6288F" w14:textId="77777777" w:rsidR="00BB183F" w:rsidRDefault="00BB183F" w:rsidP="004E306B">
      <w:pPr>
        <w:ind w:left="1057" w:firstLine="360"/>
        <w:rPr>
          <w:rFonts w:ascii="Arial" w:hAnsi="Arial"/>
          <w:noProof w:val="0"/>
          <w:rtl/>
        </w:rPr>
      </w:pPr>
      <w:r>
        <w:rPr>
          <w:rFonts w:ascii="Arial" w:hAnsi="Arial"/>
          <w:noProof w:val="0"/>
          <w:rtl/>
        </w:rPr>
        <w:t>ראו גם:</w:t>
      </w:r>
    </w:p>
    <w:p w14:paraId="42DEE884" w14:textId="77777777" w:rsidR="00BB183F" w:rsidRDefault="00BB183F" w:rsidP="00BB183F">
      <w:pPr>
        <w:spacing w:line="360" w:lineRule="auto"/>
        <w:ind w:left="363"/>
        <w:jc w:val="both"/>
        <w:rPr>
          <w:rFonts w:ascii="Arial" w:hAnsi="Arial"/>
          <w:noProof w:val="0"/>
          <w:rtl/>
        </w:rPr>
      </w:pPr>
    </w:p>
    <w:p w14:paraId="7C8ADF60" w14:textId="77777777" w:rsidR="00BB183F" w:rsidRDefault="00BB183F" w:rsidP="00BB183F">
      <w:pPr>
        <w:widowControl w:val="0"/>
        <w:tabs>
          <w:tab w:val="left" w:pos="1699"/>
        </w:tabs>
        <w:spacing w:line="360" w:lineRule="auto"/>
        <w:ind w:left="1417" w:hanging="1701"/>
        <w:jc w:val="both"/>
        <w:rPr>
          <w:noProof w:val="0"/>
          <w:rtl/>
        </w:rPr>
      </w:pPr>
      <w:r>
        <w:rPr>
          <w:b/>
          <w:bCs/>
          <w:rtl/>
        </w:rPr>
        <w:t xml:space="preserve">                             "ש:</w:t>
      </w:r>
      <w:r>
        <w:rPr>
          <w:rtl/>
        </w:rPr>
        <w:t xml:space="preserve"> שאתם התחלתם לבנות את הנכס הוא נבנה </w:t>
      </w:r>
      <w:bookmarkStart w:id="15" w:name="_ETM_Q_2431594"/>
      <w:bookmarkEnd w:id="15"/>
      <w:r>
        <w:rPr>
          <w:rtl/>
        </w:rPr>
        <w:t>לצורך מגורים. נכון? אמרנו את זה בהתחלה.</w:t>
      </w:r>
    </w:p>
    <w:p w14:paraId="76A85464" w14:textId="77777777" w:rsidR="00BB183F" w:rsidRDefault="00BB183F" w:rsidP="00BB183F">
      <w:pPr>
        <w:widowControl w:val="0"/>
        <w:tabs>
          <w:tab w:val="left" w:pos="1699"/>
        </w:tabs>
        <w:spacing w:line="360" w:lineRule="auto"/>
        <w:ind w:left="1417" w:hanging="1701"/>
        <w:jc w:val="both"/>
        <w:rPr>
          <w:rtl/>
        </w:rPr>
      </w:pPr>
      <w:r>
        <w:rPr>
          <w:b/>
          <w:bCs/>
          <w:rtl/>
        </w:rPr>
        <w:t xml:space="preserve">                               ת:</w:t>
      </w:r>
      <w:r>
        <w:rPr>
          <w:rtl/>
        </w:rPr>
        <w:t xml:space="preserve"> לא. </w:t>
      </w:r>
      <w:r>
        <w:rPr>
          <w:b/>
          <w:bCs/>
          <w:rtl/>
        </w:rPr>
        <w:t>מהיום הראשון הוא נבנה להשכרה</w:t>
      </w:r>
      <w:r>
        <w:rPr>
          <w:rtl/>
        </w:rPr>
        <w:t xml:space="preserve">. </w:t>
      </w:r>
    </w:p>
    <w:p w14:paraId="32BA7D89" w14:textId="77777777" w:rsidR="00BB183F" w:rsidRDefault="00BB183F" w:rsidP="00BB183F">
      <w:pPr>
        <w:widowControl w:val="0"/>
        <w:tabs>
          <w:tab w:val="left" w:pos="1699"/>
        </w:tabs>
        <w:spacing w:line="360" w:lineRule="auto"/>
        <w:ind w:left="1417" w:hanging="1701"/>
        <w:jc w:val="both"/>
        <w:rPr>
          <w:rtl/>
        </w:rPr>
      </w:pPr>
      <w:bookmarkStart w:id="16" w:name="_ETM_Q_2435853"/>
      <w:bookmarkEnd w:id="16"/>
      <w:r>
        <w:rPr>
          <w:b/>
          <w:bCs/>
          <w:rtl/>
        </w:rPr>
        <w:t xml:space="preserve">                               ש:</w:t>
      </w:r>
      <w:r>
        <w:rPr>
          <w:rtl/>
        </w:rPr>
        <w:t xml:space="preserve"> להשכרה למגורים.</w:t>
      </w:r>
      <w:bookmarkStart w:id="17" w:name="_ETM_Q_2437809"/>
      <w:bookmarkEnd w:id="17"/>
    </w:p>
    <w:p w14:paraId="376EB854" w14:textId="77777777" w:rsidR="00BB183F" w:rsidRDefault="00BB183F" w:rsidP="00BB183F">
      <w:pPr>
        <w:spacing w:line="360" w:lineRule="auto"/>
        <w:jc w:val="both"/>
        <w:rPr>
          <w:rFonts w:ascii="Arial" w:hAnsi="Arial"/>
          <w:noProof w:val="0"/>
        </w:rPr>
      </w:pPr>
      <w:r>
        <w:rPr>
          <w:b/>
          <w:bCs/>
          <w:rtl/>
        </w:rPr>
        <w:t xml:space="preserve">                          ת:</w:t>
      </w:r>
      <w:r>
        <w:rPr>
          <w:rtl/>
        </w:rPr>
        <w:t xml:space="preserve"> להשכרה למגורים.</w:t>
      </w:r>
      <w:bookmarkStart w:id="18" w:name="_ETM_Q_2436458"/>
      <w:bookmarkEnd w:id="18"/>
      <w:r>
        <w:rPr>
          <w:rtl/>
        </w:rPr>
        <w:t>"(</w:t>
      </w:r>
      <w:r>
        <w:rPr>
          <w:rFonts w:ascii="Arial" w:hAnsi="Arial"/>
          <w:noProof w:val="0"/>
          <w:rtl/>
        </w:rPr>
        <w:t>עמוד 33 לפרוטוקול, שורות 11-13, ההדגשות אינן במקור).</w:t>
      </w:r>
    </w:p>
    <w:p w14:paraId="2DA233E7" w14:textId="77777777" w:rsidR="00BB183F" w:rsidRDefault="00BB183F" w:rsidP="00BB183F">
      <w:pPr>
        <w:spacing w:line="360" w:lineRule="auto"/>
        <w:jc w:val="both"/>
        <w:rPr>
          <w:rFonts w:ascii="Arial" w:hAnsi="Arial"/>
          <w:noProof w:val="0"/>
          <w:rtl/>
        </w:rPr>
      </w:pPr>
    </w:p>
    <w:p w14:paraId="42ADE009" w14:textId="77777777" w:rsidR="00BB183F" w:rsidRDefault="00BB183F" w:rsidP="00BB183F">
      <w:pPr>
        <w:pStyle w:val="ad"/>
        <w:numPr>
          <w:ilvl w:val="0"/>
          <w:numId w:val="1"/>
        </w:numPr>
        <w:spacing w:line="360" w:lineRule="auto"/>
        <w:jc w:val="both"/>
        <w:rPr>
          <w:rFonts w:ascii="Arial" w:hAnsi="Arial"/>
          <w:noProof w:val="0"/>
          <w:rtl/>
        </w:rPr>
      </w:pPr>
      <w:r>
        <w:rPr>
          <w:rFonts w:ascii="Arial" w:hAnsi="Arial"/>
          <w:noProof w:val="0"/>
          <w:rtl/>
        </w:rPr>
        <w:t xml:space="preserve">עמדת המשיב היא כי הדיווח במאזני השותפות על הפרויקט כמלאי מעיד על כך שהפרויקט הוחזק ברשות השותפות כרכוש שוטף ולא כרכוש קבוע. לכן קבע המשיב כי לא ניתן לאפשר למערערים לטעון כעת כי (רטרואקטיבית) הפרויקט היה למעשה רכוש קבוע. נראה כי עמדתו מתבססת בעיקרה על קביעות של בית המשפט, לפיהן ההצגה בדוחות ואופן רישומו של הנכס במאזן מהווים ראייה לכאורית ואף מעין "הודאת בעל דין" בדבר אפיון הנכס, ובנוסף, כי לא ניתן לאפשר למערערים לסגת בנקל מההצגה בדוחותיהם [ראו, למשל, ע"א 3892/13 </w:t>
      </w:r>
      <w:r>
        <w:rPr>
          <w:rFonts w:ascii="Arial" w:hAnsi="Arial"/>
          <w:b/>
          <w:bCs/>
          <w:noProof w:val="0"/>
          <w:rtl/>
        </w:rPr>
        <w:t xml:space="preserve">בראון-פישמן תקשורת בע"מ נ' </w:t>
      </w:r>
      <w:proofErr w:type="spellStart"/>
      <w:r>
        <w:rPr>
          <w:rFonts w:ascii="Arial" w:hAnsi="Arial"/>
          <w:b/>
          <w:bCs/>
          <w:noProof w:val="0"/>
          <w:rtl/>
        </w:rPr>
        <w:t>פשמ"ג</w:t>
      </w:r>
      <w:proofErr w:type="spellEnd"/>
      <w:r>
        <w:rPr>
          <w:rFonts w:ascii="Arial" w:hAnsi="Arial"/>
          <w:noProof w:val="0"/>
          <w:rtl/>
        </w:rPr>
        <w:t xml:space="preserve">, (8.6.15), וגם ע"מ 18186-02-17 </w:t>
      </w:r>
      <w:r>
        <w:rPr>
          <w:rFonts w:ascii="Arial" w:hAnsi="Arial"/>
          <w:b/>
          <w:bCs/>
          <w:noProof w:val="0"/>
          <w:rtl/>
        </w:rPr>
        <w:t xml:space="preserve">מור דן </w:t>
      </w:r>
      <w:proofErr w:type="spellStart"/>
      <w:r>
        <w:rPr>
          <w:rFonts w:ascii="Arial" w:hAnsi="Arial"/>
          <w:b/>
          <w:bCs/>
          <w:noProof w:val="0"/>
          <w:rtl/>
        </w:rPr>
        <w:t>פייננס</w:t>
      </w:r>
      <w:proofErr w:type="spellEnd"/>
      <w:r>
        <w:rPr>
          <w:rFonts w:ascii="Arial" w:hAnsi="Arial"/>
          <w:b/>
          <w:bCs/>
          <w:noProof w:val="0"/>
          <w:rtl/>
        </w:rPr>
        <w:t xml:space="preserve"> נ' </w:t>
      </w:r>
      <w:proofErr w:type="spellStart"/>
      <w:r>
        <w:rPr>
          <w:rFonts w:ascii="Arial" w:hAnsi="Arial"/>
          <w:b/>
          <w:bCs/>
          <w:noProof w:val="0"/>
          <w:rtl/>
        </w:rPr>
        <w:t>פ"ש</w:t>
      </w:r>
      <w:proofErr w:type="spellEnd"/>
      <w:r>
        <w:rPr>
          <w:rFonts w:ascii="Arial" w:hAnsi="Arial"/>
          <w:b/>
          <w:bCs/>
          <w:noProof w:val="0"/>
          <w:rtl/>
        </w:rPr>
        <w:t xml:space="preserve"> נתניה</w:t>
      </w:r>
      <w:r>
        <w:rPr>
          <w:rFonts w:ascii="Arial" w:hAnsi="Arial"/>
          <w:noProof w:val="0"/>
          <w:rtl/>
        </w:rPr>
        <w:t xml:space="preserve"> (22.8.19)]. </w:t>
      </w:r>
    </w:p>
    <w:p w14:paraId="23789F2D" w14:textId="77777777" w:rsidR="00BB183F" w:rsidRDefault="00BB183F" w:rsidP="00BB183F">
      <w:pPr>
        <w:pStyle w:val="ad"/>
        <w:spacing w:line="360" w:lineRule="auto"/>
        <w:jc w:val="both"/>
        <w:rPr>
          <w:rFonts w:ascii="Arial" w:hAnsi="Arial"/>
          <w:noProof w:val="0"/>
          <w:rtl/>
        </w:rPr>
      </w:pPr>
    </w:p>
    <w:p w14:paraId="657F3605" w14:textId="77777777" w:rsidR="00BB183F" w:rsidRDefault="00BB183F" w:rsidP="00BB183F">
      <w:pPr>
        <w:pStyle w:val="ad"/>
        <w:numPr>
          <w:ilvl w:val="0"/>
          <w:numId w:val="1"/>
        </w:numPr>
        <w:spacing w:line="360" w:lineRule="auto"/>
        <w:jc w:val="both"/>
        <w:rPr>
          <w:rFonts w:ascii="Arial" w:hAnsi="Arial"/>
          <w:noProof w:val="0"/>
        </w:rPr>
      </w:pPr>
      <w:r>
        <w:rPr>
          <w:rFonts w:ascii="Arial" w:hAnsi="Arial"/>
          <w:noProof w:val="0"/>
          <w:rtl/>
        </w:rPr>
        <w:t xml:space="preserve">לצד כל האמור, מהראיות שהציגו המערערים בפניי ומעמידה על טיב הנכס, עולה כי הגם שבשנת 2013 שונה אופן הרישום מרכוש שוטף- לרכוש קבוע, בפועל ראו המערערים בנכס כרכוש קבוע מלכתחילה ולאורך כל אותן שנים ולמעשה הרימו את נטל הראיה להוכחת הייעוד. באופן דומה נקבע </w:t>
      </w:r>
      <w:proofErr w:type="spellStart"/>
      <w:r>
        <w:rPr>
          <w:rFonts w:ascii="Arial" w:hAnsi="Arial"/>
          <w:noProof w:val="0"/>
          <w:rtl/>
        </w:rPr>
        <w:t>בעמ"ה</w:t>
      </w:r>
      <w:proofErr w:type="spellEnd"/>
      <w:r>
        <w:rPr>
          <w:rFonts w:ascii="Arial" w:hAnsi="Arial"/>
          <w:noProof w:val="0"/>
          <w:rtl/>
        </w:rPr>
        <w:t xml:space="preserve"> 212/79 </w:t>
      </w:r>
      <w:r>
        <w:rPr>
          <w:rFonts w:ascii="Arial" w:hAnsi="Arial"/>
          <w:b/>
          <w:bCs/>
          <w:noProof w:val="0"/>
          <w:rtl/>
        </w:rPr>
        <w:t xml:space="preserve">מבני ידידיה נ' </w:t>
      </w:r>
      <w:proofErr w:type="spellStart"/>
      <w:r>
        <w:rPr>
          <w:rFonts w:ascii="Arial" w:hAnsi="Arial"/>
          <w:b/>
          <w:bCs/>
          <w:noProof w:val="0"/>
          <w:rtl/>
        </w:rPr>
        <w:t>פ"ש</w:t>
      </w:r>
      <w:proofErr w:type="spellEnd"/>
      <w:r>
        <w:rPr>
          <w:rFonts w:ascii="Arial" w:hAnsi="Arial"/>
          <w:b/>
          <w:bCs/>
          <w:noProof w:val="0"/>
          <w:rtl/>
        </w:rPr>
        <w:t xml:space="preserve"> ת"א 1</w:t>
      </w:r>
      <w:r>
        <w:rPr>
          <w:rFonts w:ascii="Arial" w:hAnsi="Arial"/>
          <w:noProof w:val="0"/>
          <w:rtl/>
        </w:rPr>
        <w:t xml:space="preserve">, </w:t>
      </w:r>
      <w:proofErr w:type="spellStart"/>
      <w:r>
        <w:rPr>
          <w:rFonts w:ascii="Arial" w:hAnsi="Arial"/>
          <w:noProof w:val="0"/>
          <w:rtl/>
        </w:rPr>
        <w:t>יב</w:t>
      </w:r>
      <w:proofErr w:type="spellEnd"/>
      <w:r>
        <w:rPr>
          <w:rFonts w:ascii="Arial" w:hAnsi="Arial"/>
          <w:noProof w:val="0"/>
          <w:rtl/>
        </w:rPr>
        <w:t xml:space="preserve"> 119 (11.1.82) כי </w:t>
      </w:r>
      <w:r>
        <w:rPr>
          <w:rFonts w:ascii="Arial" w:hAnsi="Arial"/>
          <w:noProof w:val="0"/>
          <w:rtl/>
        </w:rPr>
        <w:lastRenderedPageBreak/>
        <w:t xml:space="preserve">שינוי ייעוד יכול שיקבע לפי כוונתו </w:t>
      </w:r>
      <w:proofErr w:type="spellStart"/>
      <w:r>
        <w:rPr>
          <w:rFonts w:ascii="Arial" w:hAnsi="Arial"/>
          <w:noProof w:val="0"/>
          <w:rtl/>
        </w:rPr>
        <w:t>וגמירות</w:t>
      </w:r>
      <w:proofErr w:type="spellEnd"/>
      <w:r>
        <w:rPr>
          <w:rFonts w:ascii="Arial" w:hAnsi="Arial"/>
          <w:noProof w:val="0"/>
          <w:rtl/>
        </w:rPr>
        <w:t xml:space="preserve"> דעתו של הנישום בהתאם לסממנים החיצוניים בשטח:</w:t>
      </w:r>
    </w:p>
    <w:p w14:paraId="5C485241" w14:textId="77777777" w:rsidR="00BB183F" w:rsidRDefault="00BB183F" w:rsidP="00BB183F">
      <w:pPr>
        <w:pStyle w:val="ad"/>
        <w:rPr>
          <w:rFonts w:ascii="Arial" w:hAnsi="Arial"/>
          <w:noProof w:val="0"/>
        </w:rPr>
      </w:pPr>
    </w:p>
    <w:p w14:paraId="5D886BCA" w14:textId="77777777" w:rsidR="00BB183F" w:rsidRDefault="00BB183F" w:rsidP="00BB183F">
      <w:pPr>
        <w:spacing w:line="360" w:lineRule="auto"/>
        <w:ind w:left="1417"/>
        <w:jc w:val="both"/>
        <w:rPr>
          <w:rFonts w:ascii="Arial" w:hAnsi="Arial"/>
          <w:noProof w:val="0"/>
        </w:rPr>
      </w:pPr>
      <w:r>
        <w:rPr>
          <w:rtl/>
        </w:rPr>
        <w:t>"</w:t>
      </w:r>
      <w:r>
        <w:rPr>
          <w:b/>
          <w:bCs/>
          <w:rtl/>
        </w:rPr>
        <w:t>אין אני סבור, כפי שב״כ המערערת מציע לקבל, כי די בהצהרה או בהחלטה של המערערת למען הפוך את הדירות לנכס קבוע.</w:t>
      </w:r>
      <w:r>
        <w:rPr>
          <w:rFonts w:hint="cs"/>
          <w:b/>
          <w:bCs/>
        </w:rPr>
        <w:t xml:space="preserve"> </w:t>
      </w:r>
      <w:r>
        <w:rPr>
          <w:b/>
          <w:bCs/>
          <w:u w:val="single"/>
          <w:rtl/>
        </w:rPr>
        <w:t>עריכת נייר ושימתו במגרה אינה יוצרת עובדה.</w:t>
      </w:r>
      <w:r>
        <w:rPr>
          <w:b/>
          <w:bCs/>
          <w:rtl/>
        </w:rPr>
        <w:t xml:space="preserve"> נכס עסקי ייעודו ושמושו אחר מנכס קבוע. זה מיועד למכירה וזה — להשכרה. </w:t>
      </w:r>
      <w:r>
        <w:rPr>
          <w:b/>
          <w:bCs/>
          <w:u w:val="single"/>
          <w:rtl/>
        </w:rPr>
        <w:t>מעשה נייר כזה אינו הופך את היעוד והשימוש</w:t>
      </w:r>
      <w:r>
        <w:rPr>
          <w:b/>
          <w:bCs/>
          <w:rtl/>
        </w:rPr>
        <w:t>. הביטוי ״הפיכה״ משמעו משהו יותר ממחשבה התחלתית</w:t>
      </w:r>
      <w:r>
        <w:t>.</w:t>
      </w:r>
      <w:r>
        <w:rPr>
          <w:rFonts w:ascii="Arial" w:hAnsi="Arial"/>
          <w:noProof w:val="0"/>
          <w:rtl/>
        </w:rPr>
        <w:t>" (עמוד 122, ההדגשות אינן במקור)</w:t>
      </w:r>
    </w:p>
    <w:p w14:paraId="559C1EF7" w14:textId="77777777" w:rsidR="00BB183F" w:rsidRDefault="00BB183F" w:rsidP="00BB183F">
      <w:pPr>
        <w:spacing w:line="360" w:lineRule="auto"/>
        <w:ind w:left="360"/>
        <w:jc w:val="both"/>
        <w:rPr>
          <w:rFonts w:ascii="Arial" w:hAnsi="Arial"/>
          <w:noProof w:val="0"/>
        </w:rPr>
      </w:pPr>
    </w:p>
    <w:p w14:paraId="615CC9DD" w14:textId="77777777" w:rsidR="00BB183F" w:rsidRDefault="00BB183F" w:rsidP="00BB183F">
      <w:pPr>
        <w:pStyle w:val="ad"/>
        <w:numPr>
          <w:ilvl w:val="0"/>
          <w:numId w:val="1"/>
        </w:numPr>
        <w:shd w:val="clear" w:color="auto" w:fill="FFFFFF"/>
        <w:spacing w:line="360" w:lineRule="atLeast"/>
        <w:ind w:right="284"/>
        <w:jc w:val="both"/>
        <w:rPr>
          <w:rFonts w:ascii="David" w:hAnsi="David"/>
          <w:rtl/>
        </w:rPr>
      </w:pPr>
      <w:r>
        <w:rPr>
          <w:rFonts w:ascii="David" w:hAnsi="David"/>
          <w:rtl/>
        </w:rPr>
        <w:t xml:space="preserve">בחינת אופייה ומהותה של הכנסה כלשהי וסיווגה כהכנסה עסקית-אקטיבית או פאסיבית, תיעשה בעיקרה במשקפיים אובייקטיביות בהסתכלות על הנכס. מסקנה זאת רצויה אפוא מבחינת שיקולי המדיניות של גביית מס אמת, ומסתברת כאופטימלית בכל הנוגע למניעת מניפולציות מצד נישומים המבקשים להימנע מתשלום מס. </w:t>
      </w:r>
      <w:r>
        <w:rPr>
          <w:rFonts w:ascii="David" w:hAnsi="David"/>
          <w:color w:val="000000"/>
          <w:shd w:val="clear" w:color="auto" w:fill="FFFFFF"/>
          <w:rtl/>
        </w:rPr>
        <w:t>ב</w:t>
      </w:r>
      <w:hyperlink r:id="rId10" w:tgtFrame="blank" w:history="1">
        <w:r>
          <w:rPr>
            <w:rStyle w:val="Hyperlink"/>
            <w:rFonts w:ascii="David" w:hAnsi="David"/>
            <w:shd w:val="clear" w:color="auto" w:fill="FFFFFF"/>
            <w:rtl/>
          </w:rPr>
          <w:t>ע"א 7204/15</w:t>
        </w:r>
      </w:hyperlink>
      <w:r>
        <w:rPr>
          <w:rFonts w:ascii="David" w:hAnsi="David"/>
          <w:color w:val="000000"/>
          <w:shd w:val="clear" w:color="auto" w:fill="FFFFFF"/>
          <w:rtl/>
        </w:rPr>
        <w:t> </w:t>
      </w:r>
      <w:r>
        <w:rPr>
          <w:rFonts w:ascii="David" w:hAnsi="David"/>
          <w:b/>
          <w:bCs/>
          <w:color w:val="000000"/>
          <w:shd w:val="clear" w:color="auto" w:fill="FFFFFF"/>
          <w:rtl/>
        </w:rPr>
        <w:t>פקיד שומה ת"א 4 נ' עיזבון המנוחה דפנה לשם ז"ל</w:t>
      </w:r>
      <w:r>
        <w:rPr>
          <w:rFonts w:ascii="David" w:hAnsi="David"/>
          <w:color w:val="000000"/>
          <w:shd w:val="clear" w:color="auto" w:fill="FFFFFF"/>
          <w:rtl/>
        </w:rPr>
        <w:t xml:space="preserve"> (2.1.2018)</w:t>
      </w:r>
      <w:r>
        <w:rPr>
          <w:rFonts w:ascii="David" w:hAnsi="David"/>
          <w:rtl/>
        </w:rPr>
        <w:t>,</w:t>
      </w:r>
      <w:r>
        <w:rPr>
          <w:rFonts w:ascii="David" w:hAnsi="David"/>
          <w:color w:val="000000"/>
          <w:shd w:val="clear" w:color="auto" w:fill="FFFFFF"/>
          <w:rtl/>
        </w:rPr>
        <w:t xml:space="preserve"> קבע</w:t>
      </w:r>
      <w:r>
        <w:rPr>
          <w:rFonts w:ascii="David" w:hAnsi="David"/>
          <w:rtl/>
        </w:rPr>
        <w:t xml:space="preserve"> </w:t>
      </w:r>
      <w:r>
        <w:rPr>
          <w:rFonts w:ascii="David" w:hAnsi="David"/>
          <w:color w:val="000000"/>
          <w:shd w:val="clear" w:color="auto" w:fill="FFFFFF"/>
          <w:rtl/>
        </w:rPr>
        <w:t xml:space="preserve">כב' השופט ד' מינץ </w:t>
      </w:r>
      <w:r>
        <w:rPr>
          <w:rFonts w:ascii="David" w:hAnsi="David"/>
          <w:rtl/>
        </w:rPr>
        <w:t>כך</w:t>
      </w:r>
      <w:r>
        <w:rPr>
          <w:rFonts w:ascii="David" w:hAnsi="David"/>
          <w:noProof w:val="0"/>
          <w:color w:val="000000"/>
          <w:rtl/>
        </w:rPr>
        <w:t xml:space="preserve">: </w:t>
      </w:r>
    </w:p>
    <w:p w14:paraId="3FB8FED9" w14:textId="77777777" w:rsidR="00BB183F" w:rsidRDefault="00BB183F" w:rsidP="00BB183F">
      <w:pPr>
        <w:pStyle w:val="ad"/>
        <w:shd w:val="clear" w:color="auto" w:fill="FFFFFF"/>
        <w:spacing w:line="360" w:lineRule="atLeast"/>
        <w:ind w:right="284"/>
        <w:jc w:val="both"/>
        <w:rPr>
          <w:rFonts w:ascii="David" w:hAnsi="David"/>
        </w:rPr>
      </w:pPr>
    </w:p>
    <w:p w14:paraId="3715A353" w14:textId="77777777" w:rsidR="00BB183F" w:rsidRDefault="00BB183F" w:rsidP="00BB183F">
      <w:pPr>
        <w:pStyle w:val="ad"/>
        <w:rPr>
          <w:rFonts w:ascii="David" w:hAnsi="David"/>
          <w:noProof w:val="0"/>
          <w:color w:val="000000"/>
        </w:rPr>
      </w:pPr>
    </w:p>
    <w:p w14:paraId="54276E7C" w14:textId="77777777" w:rsidR="00BB183F" w:rsidRDefault="00BB183F" w:rsidP="00BB183F">
      <w:pPr>
        <w:pStyle w:val="ad"/>
        <w:spacing w:line="360" w:lineRule="auto"/>
        <w:ind w:left="1417"/>
        <w:jc w:val="both"/>
        <w:rPr>
          <w:rFonts w:ascii="David" w:hAnsi="David"/>
          <w:noProof w:val="0"/>
          <w:color w:val="000000"/>
        </w:rPr>
      </w:pPr>
      <w:r>
        <w:rPr>
          <w:rFonts w:ascii="David" w:hAnsi="David"/>
          <w:b/>
          <w:bCs/>
          <w:noProof w:val="0"/>
          <w:color w:val="000000"/>
          <w:rtl/>
        </w:rPr>
        <w:t xml:space="preserve">"סיווג ההכנסה בהתאם לאופייה ולמהותה, יעשה על פי </w:t>
      </w:r>
      <w:r>
        <w:rPr>
          <w:rFonts w:ascii="David" w:hAnsi="David"/>
          <w:b/>
          <w:bCs/>
          <w:noProof w:val="0"/>
          <w:color w:val="000000"/>
          <w:u w:val="single"/>
          <w:rtl/>
        </w:rPr>
        <w:t>מבחנים אובייקטיבים</w:t>
      </w:r>
      <w:r>
        <w:rPr>
          <w:rFonts w:ascii="David" w:hAnsi="David"/>
          <w:b/>
          <w:bCs/>
          <w:noProof w:val="0"/>
          <w:color w:val="000000"/>
          <w:rtl/>
        </w:rPr>
        <w:t xml:space="preserve">, ולא בהכרח יינתן משקל לכוונתו הסובייקטיבית של הנישום, שכן ההסדרים הפיסקליים נועדו לחול על פעילויות </w:t>
      </w:r>
      <w:r>
        <w:rPr>
          <w:rFonts w:ascii="David" w:hAnsi="David"/>
          <w:b/>
          <w:bCs/>
          <w:noProof w:val="0"/>
          <w:color w:val="000000"/>
          <w:u w:val="single"/>
          <w:rtl/>
        </w:rPr>
        <w:t>בהתאם למהותן ותוכנן הכלכלי</w:t>
      </w:r>
      <w:r>
        <w:rPr>
          <w:rFonts w:ascii="David" w:hAnsi="David"/>
          <w:b/>
          <w:bCs/>
          <w:noProof w:val="0"/>
          <w:color w:val="000000"/>
          <w:rtl/>
        </w:rPr>
        <w:t>, ולא בהתאם למשתנים הנתונים לשליטתו של הנישום."</w:t>
      </w:r>
      <w:r>
        <w:rPr>
          <w:rFonts w:ascii="David" w:hAnsi="David"/>
          <w:noProof w:val="0"/>
          <w:color w:val="000000"/>
          <w:rtl/>
        </w:rPr>
        <w:t xml:space="preserve"> (פסקאות 39-40, ההדגשות אינן במקור).</w:t>
      </w:r>
    </w:p>
    <w:p w14:paraId="07C661E4" w14:textId="77777777" w:rsidR="00BB183F" w:rsidRDefault="00BB183F" w:rsidP="00BB183F">
      <w:pPr>
        <w:spacing w:line="360" w:lineRule="auto"/>
        <w:jc w:val="both"/>
        <w:rPr>
          <w:rFonts w:ascii="David" w:hAnsi="David"/>
        </w:rPr>
      </w:pPr>
    </w:p>
    <w:p w14:paraId="60A62F4F" w14:textId="77777777" w:rsidR="00BB183F" w:rsidRDefault="00BB183F" w:rsidP="00BB183F">
      <w:pPr>
        <w:pStyle w:val="ad"/>
        <w:numPr>
          <w:ilvl w:val="0"/>
          <w:numId w:val="1"/>
        </w:numPr>
        <w:spacing w:line="360" w:lineRule="auto"/>
        <w:jc w:val="both"/>
        <w:rPr>
          <w:rFonts w:ascii="Arial" w:hAnsi="Arial"/>
          <w:noProof w:val="0"/>
          <w:rtl/>
        </w:rPr>
      </w:pPr>
      <w:r>
        <w:rPr>
          <w:rFonts w:ascii="Arial" w:hAnsi="Arial"/>
          <w:noProof w:val="0"/>
          <w:rtl/>
        </w:rPr>
        <w:t>בהמשך לכך, סיווג נכס כמלאי עסקי משמעותו היא למעשה הפקת רווחים ופירות למחזיקים בו בעת מכירתו. המערערים החזיקו שנים ארוכות בפרויקט נשוא הערעור במטרה להעמידו לשכירות לטווח ארוך. סיווג נכס כמלאי עסקי משמעותו העדה על "</w:t>
      </w:r>
      <w:r w:rsidR="00E814B4">
        <w:rPr>
          <w:rFonts w:ascii="Arial" w:hAnsi="Arial" w:hint="cs"/>
          <w:noProof w:val="0"/>
          <w:rtl/>
        </w:rPr>
        <w:t>עסקה</w:t>
      </w:r>
      <w:r>
        <w:rPr>
          <w:rFonts w:ascii="Arial" w:hAnsi="Arial"/>
          <w:noProof w:val="0"/>
          <w:rtl/>
        </w:rPr>
        <w:t xml:space="preserve"> מסחרית" (</w:t>
      </w:r>
      <w:proofErr w:type="spellStart"/>
      <w:r>
        <w:rPr>
          <w:rFonts w:ascii="Arial" w:hAnsi="Arial"/>
          <w:b/>
          <w:bCs/>
          <w:noProof w:val="0"/>
          <w:rtl/>
        </w:rPr>
        <w:t>נמדר</w:t>
      </w:r>
      <w:proofErr w:type="spellEnd"/>
      <w:r>
        <w:rPr>
          <w:rFonts w:ascii="Arial" w:hAnsi="Arial"/>
          <w:noProof w:val="0"/>
          <w:rtl/>
        </w:rPr>
        <w:t xml:space="preserve">, לעיל), אך בחינת העובדות </w:t>
      </w:r>
      <w:proofErr w:type="spellStart"/>
      <w:r>
        <w:rPr>
          <w:rFonts w:ascii="Arial" w:hAnsi="Arial"/>
          <w:noProof w:val="0"/>
          <w:rtl/>
        </w:rPr>
        <w:t>לאשורן</w:t>
      </w:r>
      <w:proofErr w:type="spellEnd"/>
      <w:r>
        <w:rPr>
          <w:rFonts w:ascii="Arial" w:hAnsi="Arial"/>
          <w:noProof w:val="0"/>
          <w:rtl/>
        </w:rPr>
        <w:t xml:space="preserve"> מעלה כי לא נבעו למערערים רווחים מהפרויקט במשך כל השנים (טענות המשיב להנאות מס יידונו בהמשך). אינדיקציה זו מוסיפה לתחושה כי בעוד שהנכס נרשם כמלאי עסקי, בפועל שימש כרכוש קבוע. כך היה הדבר בעיני המערערים לאורך כל השנים, ובפרט מאז הגשת הבקשה לפי חוק העידוד, ולמעשה עד היום. מצב דברים זה מקשה על קבלת עמדת המשיב לפיה שינוי הרישום בשנת 2013 עולה לכדי שינוי בייעוד של הנכס, באופן המחייב את המערערים בתשלום מס הכנסה בסכומים משמעותיים ביותר. </w:t>
      </w:r>
    </w:p>
    <w:p w14:paraId="6271CE7A" w14:textId="77777777" w:rsidR="00BB183F" w:rsidRDefault="00BB183F" w:rsidP="00BB183F">
      <w:pPr>
        <w:spacing w:line="360" w:lineRule="auto"/>
        <w:jc w:val="both"/>
        <w:rPr>
          <w:rFonts w:ascii="Arial" w:hAnsi="Arial"/>
          <w:noProof w:val="0"/>
          <w:rtl/>
        </w:rPr>
      </w:pPr>
    </w:p>
    <w:p w14:paraId="430B03EC" w14:textId="77777777" w:rsidR="00BB183F" w:rsidRDefault="00BB183F" w:rsidP="00BB183F">
      <w:pPr>
        <w:pStyle w:val="ad"/>
        <w:numPr>
          <w:ilvl w:val="0"/>
          <w:numId w:val="1"/>
        </w:numPr>
        <w:spacing w:line="360" w:lineRule="auto"/>
        <w:jc w:val="both"/>
        <w:rPr>
          <w:rFonts w:ascii="Arial" w:hAnsi="Arial"/>
          <w:noProof w:val="0"/>
          <w:rtl/>
        </w:rPr>
      </w:pPr>
      <w:r>
        <w:rPr>
          <w:rFonts w:ascii="Arial" w:hAnsi="Arial"/>
          <w:noProof w:val="0"/>
          <w:rtl/>
        </w:rPr>
        <w:t xml:space="preserve">אכן צדק המשיב כי המדובר באנשי עסקים ממולחים ומקצועיים בתחומם, וראוי היה כי לא הייתה מתרחשת שגיאה מתמשכת ברישומים במאזני השותפות במשך שנים רבות. אולם הגם </w:t>
      </w:r>
      <w:r>
        <w:rPr>
          <w:rFonts w:ascii="Arial" w:hAnsi="Arial"/>
          <w:noProof w:val="0"/>
          <w:rtl/>
        </w:rPr>
        <w:lastRenderedPageBreak/>
        <w:t>שהתנהלות המערערים המתוארת אינה בבחינת שיקול זר לענייננו, נדמה כי ייחס לה המשיב משקל שאינו ראוי בבחינת כללם של דברים. ואוסיף, כי הדבר מקבל משנה תוקף בעמידה על תכלית דיני המס לגביית מס אמת ולמניעת פעולות להתחמקות מתשלום מס כדין, שאלו כפי שהראנו, אינן עומדות בבסיס התנהלות המערערים.</w:t>
      </w:r>
    </w:p>
    <w:p w14:paraId="18A25A44" w14:textId="77777777" w:rsidR="00BB183F" w:rsidRDefault="00BB183F" w:rsidP="00BB183F">
      <w:pPr>
        <w:pStyle w:val="ad"/>
        <w:rPr>
          <w:rFonts w:ascii="Arial" w:hAnsi="Arial"/>
          <w:noProof w:val="0"/>
          <w:rtl/>
        </w:rPr>
      </w:pPr>
    </w:p>
    <w:p w14:paraId="276D9AE7" w14:textId="77777777" w:rsidR="00BB183F" w:rsidRDefault="00BB183F" w:rsidP="00BB183F">
      <w:pPr>
        <w:pStyle w:val="ad"/>
        <w:numPr>
          <w:ilvl w:val="0"/>
          <w:numId w:val="1"/>
        </w:numPr>
        <w:spacing w:line="360" w:lineRule="auto"/>
        <w:jc w:val="both"/>
        <w:rPr>
          <w:rFonts w:ascii="Arial" w:hAnsi="Arial"/>
          <w:noProof w:val="0"/>
          <w:rtl/>
        </w:rPr>
      </w:pPr>
      <w:r>
        <w:rPr>
          <w:rFonts w:ascii="Arial" w:hAnsi="Arial"/>
          <w:noProof w:val="0"/>
          <w:rtl/>
        </w:rPr>
        <w:t>אדרבה, ראוי שנפנה תשומת לב להתנהלות המשיב עצמו מול הדיווחים השנתיים שהוגשו לו. לצד הכשל האמור בדיווחי השותפות, גם המשיב לא נתן דעתו על הפגמים האמורים ולא הניח תשתית ראייתית מספקת לכך שלא היה מודע כי המערערים ראו במקרקעין כרכוש קבוע. בהקשר זה רק טען המשיב כי רכישת המגרש ובניית הפרויקט נעשו כחלק ממהלך העסקים הרגיל בשותפות, "</w:t>
      </w:r>
      <w:r>
        <w:rPr>
          <w:rFonts w:ascii="Arial" w:hAnsi="Arial"/>
          <w:b/>
          <w:bCs/>
          <w:noProof w:val="0"/>
          <w:rtl/>
        </w:rPr>
        <w:t>על כן, מבחינת המשיב כאשר אחד מעובדיו עיין בדו"ח מהדוחות הכספיים מן הסתם הוא חשב שהדיווח על הפרויקט כמלאי עולה בקנה אחד ומשתלב עם עיסוקה של השותפות</w:t>
      </w:r>
      <w:r>
        <w:rPr>
          <w:rFonts w:ascii="Arial" w:hAnsi="Arial"/>
          <w:noProof w:val="0"/>
          <w:rtl/>
        </w:rPr>
        <w:t>" [פסקה 17 להודעה המפרשת את נימוקי השומה (להלן: "</w:t>
      </w:r>
      <w:r>
        <w:rPr>
          <w:rFonts w:ascii="Arial" w:hAnsi="Arial"/>
          <w:b/>
          <w:bCs/>
          <w:noProof w:val="0"/>
          <w:rtl/>
        </w:rPr>
        <w:t>ההודעה המפרשת</w:t>
      </w:r>
      <w:r>
        <w:rPr>
          <w:rFonts w:ascii="Arial" w:hAnsi="Arial"/>
          <w:noProof w:val="0"/>
          <w:rtl/>
        </w:rPr>
        <w:t xml:space="preserve">")]. מה גם שלאורך השנים הוסיפו המערערים, בהדגשה, הערה בדו"חות השותפות, כי הבנייה היא למטרת השכרה באישור מרכז ההשקעות ולא נרשמה התייחסות לעניין מטעם המשיב.  </w:t>
      </w:r>
    </w:p>
    <w:p w14:paraId="32DC4C3D" w14:textId="77777777" w:rsidR="00BB183F" w:rsidRDefault="00BB183F" w:rsidP="00BB183F">
      <w:pPr>
        <w:spacing w:line="360" w:lineRule="auto"/>
        <w:jc w:val="both"/>
        <w:rPr>
          <w:rFonts w:ascii="Arial" w:hAnsi="Arial"/>
          <w:noProof w:val="0"/>
        </w:rPr>
      </w:pPr>
    </w:p>
    <w:p w14:paraId="48657C1A" w14:textId="77777777" w:rsidR="00BB183F" w:rsidRDefault="00BB183F" w:rsidP="00BB183F">
      <w:pPr>
        <w:pStyle w:val="ad"/>
        <w:numPr>
          <w:ilvl w:val="0"/>
          <w:numId w:val="1"/>
        </w:numPr>
        <w:spacing w:line="360" w:lineRule="auto"/>
        <w:jc w:val="both"/>
        <w:rPr>
          <w:rFonts w:ascii="Arial" w:hAnsi="Arial"/>
          <w:noProof w:val="0"/>
          <w:rtl/>
        </w:rPr>
      </w:pPr>
      <w:r>
        <w:rPr>
          <w:rFonts w:ascii="Arial" w:hAnsi="Arial"/>
          <w:noProof w:val="0"/>
          <w:rtl/>
        </w:rPr>
        <w:t xml:space="preserve">לבסוף, יישום הפסיקה במקרה הנדון מטה את הכף אל עבר הקביעה כי שינוי הייעוד בוצע בשנת 1997, ולא כטענת המשיב בשנת 2013. </w:t>
      </w:r>
      <w:r>
        <w:rPr>
          <w:rFonts w:ascii="David" w:hAnsi="David"/>
          <w:rtl/>
        </w:rPr>
        <w:t>ודוק, כשנרכשו המקרקעין בשנת 1987 נרשמו כרכוש שוטף, ומשנת 1997 ייעדו המערערים את המקרקעין לרכוש קבוע, ודיווחו למס רכוש מקרקעין על היות הנכס רכוש קבוע</w:t>
      </w:r>
      <w:r>
        <w:rPr>
          <w:rFonts w:ascii="Arial" w:hAnsi="Arial"/>
          <w:noProof w:val="0"/>
          <w:rtl/>
        </w:rPr>
        <w:t xml:space="preserve">. הדברים עולים גם מחקירתה הנגדית של שרה </w:t>
      </w:r>
      <w:proofErr w:type="spellStart"/>
      <w:r>
        <w:rPr>
          <w:rFonts w:ascii="Arial" w:hAnsi="Arial"/>
          <w:noProof w:val="0"/>
          <w:rtl/>
        </w:rPr>
        <w:t>מיניקובסקי</w:t>
      </w:r>
      <w:proofErr w:type="spellEnd"/>
      <w:r>
        <w:rPr>
          <w:rFonts w:ascii="Arial" w:hAnsi="Arial"/>
          <w:noProof w:val="0"/>
          <w:rtl/>
        </w:rPr>
        <w:t>, רו"ח המערערים:</w:t>
      </w:r>
    </w:p>
    <w:p w14:paraId="7856D745" w14:textId="77777777" w:rsidR="00BB183F" w:rsidRDefault="00BB183F" w:rsidP="00BB183F">
      <w:pPr>
        <w:pStyle w:val="ad"/>
        <w:rPr>
          <w:rFonts w:ascii="Arial" w:hAnsi="Arial"/>
          <w:noProof w:val="0"/>
          <w:rtl/>
        </w:rPr>
      </w:pPr>
    </w:p>
    <w:p w14:paraId="368D6C80" w14:textId="77777777" w:rsidR="00BB183F" w:rsidRDefault="00BB183F" w:rsidP="00BB183F">
      <w:pPr>
        <w:widowControl w:val="0"/>
        <w:tabs>
          <w:tab w:val="left" w:pos="1699"/>
        </w:tabs>
        <w:spacing w:line="360" w:lineRule="auto"/>
        <w:ind w:left="1417" w:hanging="1695"/>
        <w:jc w:val="both"/>
        <w:rPr>
          <w:b/>
          <w:bCs/>
          <w:rtl/>
        </w:rPr>
      </w:pPr>
      <w:r>
        <w:rPr>
          <w:rtl/>
        </w:rPr>
        <w:t xml:space="preserve">                              "</w:t>
      </w:r>
      <w:r>
        <w:rPr>
          <w:b/>
          <w:bCs/>
          <w:rtl/>
        </w:rPr>
        <w:t>ת: מאז רכישת המקרקעין, שמתי לב</w:t>
      </w:r>
      <w:bookmarkStart w:id="19" w:name="_ETM_Q_4681621"/>
      <w:bookmarkEnd w:id="19"/>
      <w:r>
        <w:rPr>
          <w:b/>
          <w:bCs/>
          <w:rtl/>
        </w:rPr>
        <w:t xml:space="preserve"> לזה דווקא שזאת טעות שלא תיקנתי אותה. </w:t>
      </w:r>
    </w:p>
    <w:p w14:paraId="6A883CD8" w14:textId="77777777" w:rsidR="00BB183F" w:rsidRDefault="00BB183F" w:rsidP="00BB183F">
      <w:pPr>
        <w:widowControl w:val="0"/>
        <w:tabs>
          <w:tab w:val="left" w:pos="1699"/>
        </w:tabs>
        <w:spacing w:line="360" w:lineRule="auto"/>
        <w:ind w:left="1417"/>
        <w:jc w:val="both"/>
        <w:rPr>
          <w:b/>
          <w:bCs/>
          <w:noProof w:val="0"/>
        </w:rPr>
      </w:pPr>
      <w:r>
        <w:rPr>
          <w:b/>
          <w:bCs/>
          <w:rtl/>
        </w:rPr>
        <w:t>כי</w:t>
      </w:r>
      <w:bookmarkStart w:id="20" w:name="_ETM_Q_4684323"/>
      <w:bookmarkEnd w:id="20"/>
      <w:r>
        <w:rPr>
          <w:b/>
          <w:bCs/>
          <w:rtl/>
        </w:rPr>
        <w:t xml:space="preserve"> למעשה, מה שהתכוונתי פה לומר זה מאז שהחליטו להפוך את</w:t>
      </w:r>
      <w:bookmarkStart w:id="21" w:name="_ETM_Q_4689071"/>
      <w:bookmarkEnd w:id="21"/>
      <w:r>
        <w:rPr>
          <w:b/>
          <w:bCs/>
          <w:rtl/>
        </w:rPr>
        <w:t xml:space="preserve"> זה לעידוד השקעות הון. בהתחלה, במקור, שוב, אני לא</w:t>
      </w:r>
      <w:bookmarkStart w:id="22" w:name="_ETM_Q_4691227"/>
      <w:bookmarkEnd w:id="22"/>
      <w:r>
        <w:rPr>
          <w:b/>
          <w:bCs/>
          <w:rtl/>
        </w:rPr>
        <w:t xml:space="preserve"> הייתי בשנים האלה. הייתי ילדה. בשנים האלה, מה שאני</w:t>
      </w:r>
      <w:bookmarkStart w:id="23" w:name="_ETM_Q_4696175"/>
      <w:bookmarkEnd w:id="23"/>
      <w:r>
        <w:rPr>
          <w:b/>
          <w:bCs/>
          <w:rtl/>
        </w:rPr>
        <w:t xml:space="preserve"> יודעת לפחות לפי כל המסמכים שיש אצלנו </w:t>
      </w:r>
      <w:bookmarkStart w:id="24" w:name="_ETM_Q_4697381"/>
      <w:bookmarkEnd w:id="24"/>
      <w:r>
        <w:rPr>
          <w:b/>
          <w:bCs/>
          <w:rtl/>
        </w:rPr>
        <w:t>ולפי מה שדיברתי איתם שבהתחלה שקנו את זה</w:t>
      </w:r>
      <w:bookmarkStart w:id="25" w:name="_ETM_Q_4700089"/>
      <w:bookmarkEnd w:id="25"/>
      <w:r>
        <w:rPr>
          <w:b/>
          <w:bCs/>
          <w:rtl/>
        </w:rPr>
        <w:t xml:space="preserve"> קנו את זה באמת בתור מלאי, בתור קרקע</w:t>
      </w:r>
      <w:bookmarkStart w:id="26" w:name="_ETM_Q_4703440"/>
      <w:bookmarkEnd w:id="26"/>
      <w:r>
        <w:rPr>
          <w:b/>
          <w:bCs/>
          <w:rtl/>
        </w:rPr>
        <w:t xml:space="preserve"> כללית שלא ידע, לא תיכננו עדיין מה לעשות איתה, ממתי</w:t>
      </w:r>
      <w:bookmarkStart w:id="27" w:name="_ETM_Q_4706590"/>
      <w:bookmarkEnd w:id="27"/>
      <w:r>
        <w:rPr>
          <w:b/>
          <w:bCs/>
          <w:rtl/>
        </w:rPr>
        <w:t xml:space="preserve"> שפנו לפרויקט של עידוד השקעות הון, מאז הוחלט שזה רכוש</w:t>
      </w:r>
      <w:bookmarkStart w:id="28" w:name="_ETM_Q_4711845"/>
      <w:bookmarkEnd w:id="28"/>
      <w:r>
        <w:rPr>
          <w:b/>
          <w:bCs/>
          <w:rtl/>
        </w:rPr>
        <w:t xml:space="preserve"> קבוע</w:t>
      </w:r>
      <w:r>
        <w:rPr>
          <w:b/>
          <w:bCs/>
          <w:noProof w:val="0"/>
          <w:rtl/>
        </w:rPr>
        <w:t>.</w:t>
      </w:r>
    </w:p>
    <w:p w14:paraId="07931C37" w14:textId="77777777" w:rsidR="00BB183F" w:rsidRDefault="00BB183F" w:rsidP="00BB183F">
      <w:pPr>
        <w:widowControl w:val="0"/>
        <w:tabs>
          <w:tab w:val="left" w:pos="1699"/>
        </w:tabs>
        <w:spacing w:line="360" w:lineRule="auto"/>
        <w:ind w:left="1417" w:hanging="1695"/>
        <w:jc w:val="both"/>
        <w:rPr>
          <w:rtl/>
        </w:rPr>
      </w:pPr>
      <w:r>
        <w:rPr>
          <w:b/>
          <w:bCs/>
          <w:rtl/>
        </w:rPr>
        <w:t xml:space="preserve">                                ש: תודה על התיקון</w:t>
      </w:r>
      <w:r>
        <w:rPr>
          <w:rtl/>
        </w:rPr>
        <w:t xml:space="preserve">." </w:t>
      </w:r>
      <w:bookmarkStart w:id="29" w:name="_ETM_Q_4717445"/>
      <w:bookmarkEnd w:id="29"/>
      <w:r>
        <w:rPr>
          <w:rtl/>
        </w:rPr>
        <w:t>(עמוד 56-57 לפרוטוקול, שורות 19-1 בהתאמה, ההדגשות אינן במקור)</w:t>
      </w:r>
    </w:p>
    <w:p w14:paraId="31AE131E" w14:textId="77777777" w:rsidR="00BB183F" w:rsidRDefault="00BB183F" w:rsidP="00BB183F">
      <w:pPr>
        <w:widowControl w:val="0"/>
        <w:tabs>
          <w:tab w:val="left" w:pos="1699"/>
        </w:tabs>
        <w:spacing w:line="276" w:lineRule="auto"/>
        <w:ind w:left="2058" w:hanging="1695"/>
        <w:jc w:val="both"/>
        <w:rPr>
          <w:rtl/>
        </w:rPr>
      </w:pPr>
    </w:p>
    <w:p w14:paraId="7E203505" w14:textId="77777777" w:rsidR="00BB183F" w:rsidRDefault="004E306B" w:rsidP="00BB183F">
      <w:pPr>
        <w:widowControl w:val="0"/>
        <w:tabs>
          <w:tab w:val="left" w:pos="1699"/>
        </w:tabs>
        <w:spacing w:line="276" w:lineRule="auto"/>
        <w:ind w:left="2058" w:hanging="1695"/>
        <w:jc w:val="both"/>
      </w:pPr>
      <w:r>
        <w:rPr>
          <w:rFonts w:hint="cs"/>
          <w:rtl/>
        </w:rPr>
        <w:t xml:space="preserve">                     </w:t>
      </w:r>
      <w:r w:rsidR="00BB183F">
        <w:rPr>
          <w:rtl/>
        </w:rPr>
        <w:t>וגם:</w:t>
      </w:r>
    </w:p>
    <w:p w14:paraId="349EF9D4" w14:textId="77777777" w:rsidR="00BB183F" w:rsidRDefault="00BB183F" w:rsidP="00BB183F">
      <w:pPr>
        <w:widowControl w:val="0"/>
        <w:tabs>
          <w:tab w:val="left" w:pos="1699"/>
        </w:tabs>
        <w:spacing w:line="276" w:lineRule="auto"/>
        <w:ind w:left="2058" w:hanging="1695"/>
        <w:jc w:val="both"/>
        <w:rPr>
          <w:rtl/>
        </w:rPr>
      </w:pPr>
    </w:p>
    <w:p w14:paraId="51E2FAFA" w14:textId="77777777" w:rsidR="00BB183F" w:rsidRDefault="00BB183F" w:rsidP="00BB183F">
      <w:pPr>
        <w:widowControl w:val="0"/>
        <w:tabs>
          <w:tab w:val="left" w:pos="1699"/>
        </w:tabs>
        <w:spacing w:line="360" w:lineRule="auto"/>
        <w:ind w:left="1417" w:hanging="1695"/>
        <w:jc w:val="both"/>
        <w:rPr>
          <w:b/>
          <w:bCs/>
          <w:noProof w:val="0"/>
          <w:rtl/>
        </w:rPr>
      </w:pPr>
      <w:r>
        <w:rPr>
          <w:b/>
          <w:bCs/>
          <w:rtl/>
        </w:rPr>
        <w:t xml:space="preserve">                               "ש: בדו"ח של</w:t>
      </w:r>
      <w:bookmarkStart w:id="30" w:name="_ETM_Q_5113072"/>
      <w:bookmarkEnd w:id="30"/>
      <w:r>
        <w:rPr>
          <w:b/>
          <w:bCs/>
          <w:rtl/>
        </w:rPr>
        <w:t xml:space="preserve"> 2013,</w:t>
      </w:r>
      <w:bookmarkStart w:id="31" w:name="_ETM_Q_5113624"/>
      <w:bookmarkEnd w:id="31"/>
    </w:p>
    <w:p w14:paraId="0BC3352C" w14:textId="77777777" w:rsidR="00BB183F" w:rsidRDefault="00BB183F" w:rsidP="00BB183F">
      <w:pPr>
        <w:widowControl w:val="0"/>
        <w:tabs>
          <w:tab w:val="left" w:pos="1699"/>
        </w:tabs>
        <w:spacing w:line="360" w:lineRule="auto"/>
        <w:ind w:left="1417" w:hanging="1695"/>
        <w:jc w:val="both"/>
        <w:rPr>
          <w:b/>
          <w:bCs/>
          <w:rtl/>
        </w:rPr>
      </w:pPr>
      <w:r>
        <w:rPr>
          <w:b/>
          <w:bCs/>
          <w:rtl/>
        </w:rPr>
        <w:t xml:space="preserve">                                ת: אוקי. בסדר גמור. כן?</w:t>
      </w:r>
      <w:bookmarkStart w:id="32" w:name="_ETM_Q_5116676"/>
      <w:bookmarkEnd w:id="32"/>
    </w:p>
    <w:p w14:paraId="5ADB7F1F" w14:textId="77777777" w:rsidR="00BB183F" w:rsidRDefault="00BB183F" w:rsidP="00BB183F">
      <w:pPr>
        <w:widowControl w:val="0"/>
        <w:tabs>
          <w:tab w:val="left" w:pos="1699"/>
        </w:tabs>
        <w:spacing w:line="360" w:lineRule="auto"/>
        <w:ind w:left="1417" w:hanging="1695"/>
        <w:jc w:val="both"/>
        <w:rPr>
          <w:b/>
          <w:bCs/>
          <w:rtl/>
        </w:rPr>
      </w:pPr>
      <w:r>
        <w:rPr>
          <w:b/>
          <w:bCs/>
          <w:rtl/>
        </w:rPr>
        <w:lastRenderedPageBreak/>
        <w:t xml:space="preserve">                                ש: מה היה השינוי שפתאום, רשמתם בביאור ,</w:t>
      </w:r>
      <w:bookmarkStart w:id="33" w:name="_ETM_Q_5125224"/>
      <w:bookmarkEnd w:id="33"/>
    </w:p>
    <w:p w14:paraId="31A8B38F" w14:textId="77777777" w:rsidR="00BB183F" w:rsidRDefault="00BB183F" w:rsidP="00BB183F">
      <w:pPr>
        <w:widowControl w:val="0"/>
        <w:tabs>
          <w:tab w:val="left" w:pos="1699"/>
        </w:tabs>
        <w:spacing w:line="360" w:lineRule="auto"/>
        <w:ind w:left="1417" w:hanging="1695"/>
        <w:jc w:val="both"/>
        <w:rPr>
          <w:b/>
          <w:bCs/>
        </w:rPr>
      </w:pPr>
      <w:r>
        <w:rPr>
          <w:b/>
          <w:bCs/>
          <w:rtl/>
        </w:rPr>
        <w:t xml:space="preserve">                                ת: למה</w:t>
      </w:r>
      <w:bookmarkStart w:id="34" w:name="_ETM_Q_5126024"/>
      <w:bookmarkEnd w:id="34"/>
      <w:r>
        <w:rPr>
          <w:b/>
          <w:bCs/>
          <w:rtl/>
        </w:rPr>
        <w:t xml:space="preserve"> העבירו את זה לרכוש קבוע? כי זה, </w:t>
      </w:r>
    </w:p>
    <w:p w14:paraId="2FFD52FC" w14:textId="77777777" w:rsidR="00BB183F" w:rsidRDefault="00BB183F" w:rsidP="00BB183F">
      <w:pPr>
        <w:widowControl w:val="0"/>
        <w:tabs>
          <w:tab w:val="left" w:pos="1699"/>
        </w:tabs>
        <w:spacing w:line="360" w:lineRule="auto"/>
        <w:ind w:left="1417" w:hanging="1695"/>
        <w:jc w:val="both"/>
        <w:rPr>
          <w:b/>
          <w:bCs/>
          <w:rtl/>
        </w:rPr>
      </w:pPr>
      <w:bookmarkStart w:id="35" w:name="_ETM_Q_5127085"/>
      <w:bookmarkEnd w:id="35"/>
      <w:r>
        <w:rPr>
          <w:b/>
          <w:bCs/>
          <w:rtl/>
        </w:rPr>
        <w:t xml:space="preserve">                                ש: לביאור</w:t>
      </w:r>
      <w:bookmarkStart w:id="36" w:name="_ETM_Q_5126493"/>
      <w:bookmarkEnd w:id="36"/>
      <w:r>
        <w:rPr>
          <w:b/>
          <w:bCs/>
          <w:rtl/>
        </w:rPr>
        <w:t xml:space="preserve"> של מה? רכוש קבוע. </w:t>
      </w:r>
      <w:bookmarkStart w:id="37" w:name="_ETM_Q_5127893"/>
      <w:bookmarkEnd w:id="37"/>
    </w:p>
    <w:p w14:paraId="246565D0" w14:textId="77777777" w:rsidR="00BB183F" w:rsidRDefault="00BB183F" w:rsidP="00BB183F">
      <w:pPr>
        <w:widowControl w:val="0"/>
        <w:tabs>
          <w:tab w:val="left" w:pos="1699"/>
        </w:tabs>
        <w:spacing w:line="360" w:lineRule="auto"/>
        <w:ind w:left="1417" w:hanging="1695"/>
        <w:jc w:val="both"/>
        <w:rPr>
          <w:b/>
          <w:bCs/>
          <w:rtl/>
        </w:rPr>
      </w:pPr>
      <w:r>
        <w:rPr>
          <w:b/>
          <w:bCs/>
          <w:rtl/>
        </w:rPr>
        <w:t xml:space="preserve">                                ת: כי התחילו להפעיל את זה</w:t>
      </w:r>
      <w:bookmarkStart w:id="38" w:name="_ETM_Q_5131344"/>
      <w:bookmarkEnd w:id="38"/>
      <w:r>
        <w:rPr>
          <w:b/>
          <w:bCs/>
          <w:rtl/>
        </w:rPr>
        <w:t xml:space="preserve"> בפועל. </w:t>
      </w:r>
    </w:p>
    <w:p w14:paraId="60FFB55A" w14:textId="77777777" w:rsidR="00BB183F" w:rsidRDefault="00BB183F" w:rsidP="00BB183F">
      <w:pPr>
        <w:widowControl w:val="0"/>
        <w:tabs>
          <w:tab w:val="left" w:pos="1699"/>
        </w:tabs>
        <w:spacing w:line="360" w:lineRule="auto"/>
        <w:ind w:left="1417"/>
        <w:jc w:val="both"/>
        <w:rPr>
          <w:b/>
          <w:bCs/>
          <w:rtl/>
        </w:rPr>
      </w:pPr>
      <w:r>
        <w:rPr>
          <w:b/>
          <w:bCs/>
          <w:rtl/>
        </w:rPr>
        <w:t>עד אז זה היה בנייה, זה הוצג ככל הפרויקטים</w:t>
      </w:r>
      <w:bookmarkStart w:id="39" w:name="_ETM_Q_5134194"/>
      <w:bookmarkEnd w:id="39"/>
      <w:r>
        <w:rPr>
          <w:b/>
          <w:bCs/>
          <w:rtl/>
        </w:rPr>
        <w:t xml:space="preserve"> בבנייה שהיו והלכו והסתיימו וזה נשאר הפרויקט האחרון, מהרגע שהפחיתו</w:t>
      </w:r>
      <w:bookmarkStart w:id="40" w:name="_ETM_Q_5136754"/>
      <w:bookmarkEnd w:id="40"/>
      <w:r>
        <w:rPr>
          <w:b/>
          <w:bCs/>
          <w:rtl/>
        </w:rPr>
        <w:t xml:space="preserve"> את זה בטופס 1, העבירו את</w:t>
      </w:r>
      <w:bookmarkStart w:id="41" w:name="_ETM_Q_5139907"/>
      <w:bookmarkEnd w:id="41"/>
      <w:r>
        <w:rPr>
          <w:b/>
          <w:bCs/>
          <w:rtl/>
        </w:rPr>
        <w:t xml:space="preserve"> זה לרכוש קבוע, והעבירו את זה במאזן </w:t>
      </w:r>
      <w:bookmarkStart w:id="42" w:name="_ETM_Q_5141154"/>
      <w:bookmarkEnd w:id="42"/>
    </w:p>
    <w:p w14:paraId="4CDD20E6" w14:textId="77777777" w:rsidR="00BB183F" w:rsidRDefault="00BB183F" w:rsidP="00BB183F">
      <w:pPr>
        <w:widowControl w:val="0"/>
        <w:tabs>
          <w:tab w:val="left" w:pos="1699"/>
        </w:tabs>
        <w:spacing w:line="360" w:lineRule="auto"/>
        <w:ind w:left="1417" w:hanging="1695"/>
        <w:jc w:val="both"/>
        <w:rPr>
          <w:b/>
          <w:bCs/>
          <w:rtl/>
        </w:rPr>
      </w:pPr>
      <w:r>
        <w:rPr>
          <w:b/>
          <w:bCs/>
          <w:rtl/>
        </w:rPr>
        <w:t xml:space="preserve">                                ש: ואת, ולא היה</w:t>
      </w:r>
      <w:bookmarkStart w:id="43" w:name="_ETM_Q_5142009"/>
      <w:bookmarkEnd w:id="43"/>
      <w:r>
        <w:rPr>
          <w:b/>
          <w:bCs/>
          <w:rtl/>
        </w:rPr>
        <w:t xml:space="preserve"> צריך לתת שום ביאור על זה שזה הופ</w:t>
      </w:r>
      <w:bookmarkStart w:id="44" w:name="_ETM_Q_5144763"/>
      <w:bookmarkEnd w:id="44"/>
      <w:r>
        <w:rPr>
          <w:b/>
          <w:bCs/>
          <w:rtl/>
        </w:rPr>
        <w:t>ך לרכוש קבוע פתאום?</w:t>
      </w:r>
    </w:p>
    <w:p w14:paraId="5A440446" w14:textId="77777777" w:rsidR="00BB183F" w:rsidRDefault="00BB183F" w:rsidP="00BB183F">
      <w:pPr>
        <w:widowControl w:val="0"/>
        <w:tabs>
          <w:tab w:val="left" w:pos="1699"/>
        </w:tabs>
        <w:spacing w:line="360" w:lineRule="auto"/>
        <w:ind w:left="1417" w:hanging="1695"/>
        <w:jc w:val="both"/>
        <w:rPr>
          <w:b/>
          <w:bCs/>
          <w:rtl/>
        </w:rPr>
      </w:pPr>
      <w:bookmarkStart w:id="45" w:name="_ETM_Q_5144813"/>
      <w:bookmarkEnd w:id="45"/>
      <w:r>
        <w:rPr>
          <w:b/>
          <w:bCs/>
          <w:rtl/>
        </w:rPr>
        <w:t xml:space="preserve">                                ת: כי זה לא פתאום. מצד המהות כל</w:t>
      </w:r>
      <w:bookmarkStart w:id="46" w:name="_ETM_Q_5150017"/>
      <w:bookmarkEnd w:id="46"/>
      <w:r>
        <w:rPr>
          <w:b/>
          <w:bCs/>
          <w:rtl/>
        </w:rPr>
        <w:t xml:space="preserve"> הזמן זה רכוש קבוע. </w:t>
      </w:r>
    </w:p>
    <w:p w14:paraId="7E64E0C5" w14:textId="77777777" w:rsidR="00BB183F" w:rsidRDefault="00BB183F" w:rsidP="00BB183F">
      <w:pPr>
        <w:widowControl w:val="0"/>
        <w:tabs>
          <w:tab w:val="left" w:pos="1699"/>
        </w:tabs>
        <w:spacing w:line="360" w:lineRule="auto"/>
        <w:ind w:left="1417" w:hanging="1695"/>
        <w:jc w:val="both"/>
        <w:rPr>
          <w:b/>
          <w:bCs/>
          <w:rtl/>
        </w:rPr>
      </w:pPr>
      <w:r>
        <w:rPr>
          <w:b/>
          <w:bCs/>
          <w:rtl/>
        </w:rPr>
        <w:t xml:space="preserve">                                זה גם היה כתוב בביאורים במפורש.</w:t>
      </w:r>
      <w:bookmarkStart w:id="47" w:name="_ETM_Q_5151970"/>
      <w:bookmarkEnd w:id="47"/>
      <w:r>
        <w:rPr>
          <w:b/>
          <w:bCs/>
          <w:rtl/>
        </w:rPr>
        <w:t xml:space="preserve"> ביאורים מילוליים, זה היה כתוב.</w:t>
      </w:r>
      <w:bookmarkStart w:id="48" w:name="_ETM_Q_5152371"/>
      <w:bookmarkEnd w:id="48"/>
    </w:p>
    <w:p w14:paraId="7F0FE29E" w14:textId="77777777" w:rsidR="00BB183F" w:rsidRDefault="00BB183F" w:rsidP="00BB183F">
      <w:pPr>
        <w:widowControl w:val="0"/>
        <w:tabs>
          <w:tab w:val="left" w:pos="1699"/>
        </w:tabs>
        <w:spacing w:line="360" w:lineRule="auto"/>
        <w:ind w:left="1417" w:hanging="1695"/>
        <w:jc w:val="both"/>
        <w:rPr>
          <w:b/>
          <w:bCs/>
          <w:rtl/>
        </w:rPr>
      </w:pPr>
      <w:r>
        <w:rPr>
          <w:b/>
          <w:bCs/>
          <w:rtl/>
        </w:rPr>
        <w:t xml:space="preserve">                               ש: אבל גם בשנים שחוק התיאומים</w:t>
      </w:r>
      <w:bookmarkStart w:id="49" w:name="_ETM_Q_5154676"/>
      <w:bookmarkEnd w:id="49"/>
      <w:r>
        <w:rPr>
          <w:b/>
          <w:bCs/>
          <w:rtl/>
        </w:rPr>
        <w:t xml:space="preserve"> היה קיים, הייתה השפעה לצרכי מס. </w:t>
      </w:r>
      <w:bookmarkStart w:id="50" w:name="_ETM_Q_5157927"/>
      <w:bookmarkEnd w:id="50"/>
    </w:p>
    <w:p w14:paraId="1F75CDBF" w14:textId="77777777" w:rsidR="00BB183F" w:rsidRDefault="00BB183F" w:rsidP="00BB183F">
      <w:pPr>
        <w:widowControl w:val="0"/>
        <w:tabs>
          <w:tab w:val="left" w:pos="1699"/>
        </w:tabs>
        <w:spacing w:line="360" w:lineRule="auto"/>
        <w:ind w:left="1417" w:hanging="1695"/>
        <w:jc w:val="both"/>
        <w:rPr>
          <w:b/>
          <w:bCs/>
          <w:rtl/>
        </w:rPr>
      </w:pPr>
      <w:r>
        <w:rPr>
          <w:b/>
          <w:bCs/>
          <w:rtl/>
        </w:rPr>
        <w:t xml:space="preserve">                               ת: נכון.</w:t>
      </w:r>
      <w:bookmarkStart w:id="51" w:name="_ETM_Q_5159027"/>
      <w:bookmarkEnd w:id="51"/>
    </w:p>
    <w:p w14:paraId="0562E617" w14:textId="77777777" w:rsidR="00BB183F" w:rsidRDefault="00BB183F" w:rsidP="00BB183F">
      <w:pPr>
        <w:widowControl w:val="0"/>
        <w:tabs>
          <w:tab w:val="left" w:pos="1699"/>
        </w:tabs>
        <w:spacing w:line="360" w:lineRule="auto"/>
        <w:ind w:left="1417" w:hanging="1695"/>
        <w:jc w:val="both"/>
        <w:rPr>
          <w:b/>
          <w:bCs/>
          <w:rtl/>
        </w:rPr>
      </w:pPr>
      <w:r>
        <w:rPr>
          <w:b/>
          <w:bCs/>
          <w:rtl/>
        </w:rPr>
        <w:t xml:space="preserve">                               ש: אז אין שינוי ייעוד</w:t>
      </w:r>
      <w:bookmarkStart w:id="52" w:name="_ETM_Q_5161232"/>
      <w:bookmarkEnd w:id="52"/>
      <w:r>
        <w:rPr>
          <w:b/>
          <w:bCs/>
          <w:rtl/>
        </w:rPr>
        <w:t xml:space="preserve"> כאן?</w:t>
      </w:r>
      <w:bookmarkStart w:id="53" w:name="_ETM_Q_5159929"/>
      <w:bookmarkEnd w:id="53"/>
    </w:p>
    <w:p w14:paraId="3E21C1B2" w14:textId="77777777" w:rsidR="00BB183F" w:rsidRDefault="00BB183F" w:rsidP="00BB183F">
      <w:pPr>
        <w:widowControl w:val="0"/>
        <w:tabs>
          <w:tab w:val="left" w:pos="1699"/>
        </w:tabs>
        <w:spacing w:line="360" w:lineRule="auto"/>
        <w:ind w:left="1417" w:hanging="1695"/>
        <w:jc w:val="both"/>
        <w:rPr>
          <w:rtl/>
        </w:rPr>
      </w:pPr>
      <w:r>
        <w:rPr>
          <w:b/>
          <w:bCs/>
          <w:rtl/>
        </w:rPr>
        <w:t xml:space="preserve">                               ת: עכשיו לא. השינוי ייעוד בוצע בשנת 1997 שאז הלכו</w:t>
      </w:r>
      <w:bookmarkStart w:id="54" w:name="_ETM_Q_5163531"/>
      <w:bookmarkEnd w:id="54"/>
      <w:r>
        <w:rPr>
          <w:b/>
          <w:bCs/>
          <w:rtl/>
        </w:rPr>
        <w:t xml:space="preserve"> למסלול של עידוד השקעות הון, מ-97' זה רשום במפורש</w:t>
      </w:r>
      <w:bookmarkStart w:id="55" w:name="_ETM_Q_5168483"/>
      <w:bookmarkEnd w:id="55"/>
      <w:r>
        <w:rPr>
          <w:b/>
          <w:bCs/>
          <w:rtl/>
        </w:rPr>
        <w:t xml:space="preserve"> בדוחות. כל שנה רשום החברה, השותפות בונה פרויקט, כתוב</w:t>
      </w:r>
      <w:r>
        <w:rPr>
          <w:rtl/>
        </w:rPr>
        <w:t>.</w:t>
      </w:r>
      <w:bookmarkStart w:id="56" w:name="_ETM_Q_5173934"/>
      <w:bookmarkEnd w:id="56"/>
      <w:r>
        <w:rPr>
          <w:rtl/>
        </w:rPr>
        <w:t>" (עמוד 62 לפרוטוקול, שורות 10-24, ההדגשות אינן במקור).</w:t>
      </w:r>
    </w:p>
    <w:p w14:paraId="30108C20" w14:textId="77777777" w:rsidR="00BB183F" w:rsidRDefault="00BB183F" w:rsidP="00BB183F">
      <w:pPr>
        <w:spacing w:line="360" w:lineRule="auto"/>
        <w:jc w:val="both"/>
        <w:rPr>
          <w:rFonts w:ascii="Arial" w:hAnsi="Arial"/>
          <w:noProof w:val="0"/>
          <w:rtl/>
        </w:rPr>
      </w:pPr>
    </w:p>
    <w:p w14:paraId="05DC85E3" w14:textId="77777777" w:rsidR="00BB183F" w:rsidRDefault="00BB183F" w:rsidP="00BB183F">
      <w:pPr>
        <w:spacing w:line="360" w:lineRule="auto"/>
        <w:jc w:val="both"/>
        <w:rPr>
          <w:rFonts w:ascii="Arial" w:hAnsi="Arial"/>
          <w:noProof w:val="0"/>
          <w:u w:val="single"/>
          <w:rtl/>
        </w:rPr>
      </w:pPr>
      <w:r>
        <w:rPr>
          <w:rFonts w:ascii="Arial" w:hAnsi="Arial"/>
          <w:noProof w:val="0"/>
          <w:u w:val="single"/>
          <w:rtl/>
        </w:rPr>
        <w:t>טענת התיישנות</w:t>
      </w:r>
    </w:p>
    <w:p w14:paraId="78091C45" w14:textId="77777777" w:rsidR="00BB183F" w:rsidRDefault="00BB183F" w:rsidP="00BB183F">
      <w:pPr>
        <w:pStyle w:val="ad"/>
        <w:numPr>
          <w:ilvl w:val="0"/>
          <w:numId w:val="1"/>
        </w:numPr>
        <w:spacing w:line="360" w:lineRule="auto"/>
        <w:jc w:val="both"/>
        <w:rPr>
          <w:rFonts w:ascii="Arial" w:hAnsi="Arial"/>
          <w:noProof w:val="0"/>
          <w:rtl/>
        </w:rPr>
      </w:pPr>
      <w:r>
        <w:rPr>
          <w:rFonts w:ascii="Arial" w:hAnsi="Arial" w:hint="cs"/>
          <w:noProof w:val="0"/>
          <w:rtl/>
        </w:rPr>
        <w:t xml:space="preserve">טענה נוספת של </w:t>
      </w:r>
      <w:r>
        <w:rPr>
          <w:rFonts w:ascii="Arial" w:hAnsi="Arial"/>
          <w:noProof w:val="0"/>
          <w:rtl/>
        </w:rPr>
        <w:t xml:space="preserve">המערערים </w:t>
      </w:r>
      <w:r>
        <w:rPr>
          <w:rFonts w:ascii="Arial" w:hAnsi="Arial" w:hint="cs"/>
          <w:noProof w:val="0"/>
          <w:rtl/>
        </w:rPr>
        <w:t>הייתה</w:t>
      </w:r>
      <w:r w:rsidR="00E06A14">
        <w:rPr>
          <w:rFonts w:ascii="Arial" w:hAnsi="Arial" w:hint="cs"/>
          <w:noProof w:val="0"/>
          <w:rtl/>
        </w:rPr>
        <w:t>,</w:t>
      </w:r>
      <w:r>
        <w:rPr>
          <w:rFonts w:ascii="Arial" w:hAnsi="Arial"/>
          <w:noProof w:val="0"/>
          <w:rtl/>
        </w:rPr>
        <w:t xml:space="preserve"> כי מאחר ושינוי הייעוד של הנכס נעשה בשנת 1997</w:t>
      </w:r>
      <w:r>
        <w:rPr>
          <w:rFonts w:ascii="Arial" w:hAnsi="Arial" w:hint="cs"/>
          <w:noProof w:val="0"/>
          <w:rtl/>
        </w:rPr>
        <w:t>,</w:t>
      </w:r>
      <w:r w:rsidR="00E814B4">
        <w:rPr>
          <w:rFonts w:ascii="Arial" w:hAnsi="Arial"/>
          <w:noProof w:val="0"/>
          <w:rtl/>
        </w:rPr>
        <w:t xml:space="preserve"> חלה</w:t>
      </w:r>
      <w:r>
        <w:rPr>
          <w:rFonts w:ascii="Arial" w:hAnsi="Arial"/>
          <w:noProof w:val="0"/>
          <w:rtl/>
        </w:rPr>
        <w:t xml:space="preserve"> התיישנות</w:t>
      </w:r>
      <w:r w:rsidR="00E814B4">
        <w:rPr>
          <w:rFonts w:ascii="Arial" w:hAnsi="Arial" w:hint="cs"/>
          <w:noProof w:val="0"/>
          <w:rtl/>
        </w:rPr>
        <w:t>. אכן, דוחות המס לשנת 1997 התיישנו במועד הצו ולא ניתן קבוע שומה בצו לשנה זו.</w:t>
      </w:r>
    </w:p>
    <w:p w14:paraId="108E75DC" w14:textId="77777777" w:rsidR="00BB183F" w:rsidRDefault="00BB183F" w:rsidP="00BB183F">
      <w:pPr>
        <w:pStyle w:val="ad"/>
        <w:spacing w:line="360" w:lineRule="auto"/>
        <w:jc w:val="both"/>
        <w:rPr>
          <w:rFonts w:ascii="Arial" w:hAnsi="Arial"/>
          <w:noProof w:val="0"/>
        </w:rPr>
      </w:pPr>
    </w:p>
    <w:p w14:paraId="444C36E3" w14:textId="77777777" w:rsidR="00BB183F" w:rsidRDefault="00BB183F" w:rsidP="00BB183F">
      <w:pPr>
        <w:spacing w:line="360" w:lineRule="auto"/>
        <w:jc w:val="both"/>
        <w:rPr>
          <w:rFonts w:ascii="Arial" w:hAnsi="Arial"/>
          <w:noProof w:val="0"/>
          <w:u w:val="single"/>
          <w:rtl/>
        </w:rPr>
      </w:pPr>
    </w:p>
    <w:p w14:paraId="3AE2849F" w14:textId="77777777" w:rsidR="00BB183F" w:rsidRDefault="00BB183F" w:rsidP="00BB183F">
      <w:pPr>
        <w:pStyle w:val="ad"/>
        <w:numPr>
          <w:ilvl w:val="0"/>
          <w:numId w:val="1"/>
        </w:numPr>
        <w:spacing w:line="360" w:lineRule="auto"/>
        <w:jc w:val="both"/>
        <w:rPr>
          <w:rFonts w:ascii="Arial" w:hAnsi="Arial"/>
          <w:noProof w:val="0"/>
          <w:rtl/>
        </w:rPr>
      </w:pPr>
      <w:r>
        <w:rPr>
          <w:rFonts w:ascii="Arial" w:hAnsi="Arial"/>
          <w:noProof w:val="0"/>
          <w:rtl/>
        </w:rPr>
        <w:t>בהקשר זה טענו המערערים כי דיווחו למס רכוש מקרקעין על הפיכת הנכס לרכוש קבוע בשנת 1997, ובמקביל, הוסיפו את ההדגשה בדוחות השותפות לגבי מטרת ההשכרה. רא</w:t>
      </w:r>
      <w:r w:rsidR="00B602F9">
        <w:rPr>
          <w:rFonts w:ascii="Arial" w:hAnsi="Arial"/>
          <w:noProof w:val="0"/>
          <w:rtl/>
        </w:rPr>
        <w:t>ו לעניין זה סעיף 18 לתצהיר המ</w:t>
      </w:r>
      <w:r w:rsidR="00B602F9">
        <w:rPr>
          <w:rFonts w:ascii="Arial" w:hAnsi="Arial" w:hint="cs"/>
          <w:noProof w:val="0"/>
          <w:rtl/>
        </w:rPr>
        <w:t>ערערים</w:t>
      </w:r>
      <w:r w:rsidR="00B602F9">
        <w:rPr>
          <w:rFonts w:ascii="Arial" w:hAnsi="Arial"/>
          <w:noProof w:val="0"/>
          <w:rtl/>
        </w:rPr>
        <w:t xml:space="preserve"> ממנו עולה כי ה</w:t>
      </w:r>
      <w:r w:rsidR="00B602F9">
        <w:rPr>
          <w:rFonts w:ascii="Arial" w:hAnsi="Arial" w:hint="cs"/>
          <w:noProof w:val="0"/>
          <w:rtl/>
        </w:rPr>
        <w:t>ם</w:t>
      </w:r>
      <w:r>
        <w:rPr>
          <w:rFonts w:ascii="Arial" w:hAnsi="Arial"/>
          <w:noProof w:val="0"/>
          <w:rtl/>
        </w:rPr>
        <w:t xml:space="preserve"> פעל</w:t>
      </w:r>
      <w:r w:rsidR="00B602F9">
        <w:rPr>
          <w:rFonts w:ascii="Arial" w:hAnsi="Arial" w:hint="cs"/>
          <w:noProof w:val="0"/>
          <w:rtl/>
        </w:rPr>
        <w:t>ו</w:t>
      </w:r>
      <w:r w:rsidR="00B602F9">
        <w:rPr>
          <w:rFonts w:ascii="Arial" w:hAnsi="Arial"/>
          <w:noProof w:val="0"/>
          <w:rtl/>
        </w:rPr>
        <w:t xml:space="preserve"> כנדרש</w:t>
      </w:r>
      <w:r w:rsidR="00B602F9">
        <w:rPr>
          <w:rFonts w:ascii="Arial" w:hAnsi="Arial" w:hint="cs"/>
          <w:noProof w:val="0"/>
          <w:rtl/>
        </w:rPr>
        <w:t xml:space="preserve"> וכי</w:t>
      </w:r>
      <w:r>
        <w:rPr>
          <w:rFonts w:ascii="Arial" w:hAnsi="Arial"/>
          <w:noProof w:val="0"/>
          <w:rtl/>
        </w:rPr>
        <w:t xml:space="preserve"> עד שנת 1997 </w:t>
      </w:r>
      <w:r w:rsidR="00B602F9">
        <w:rPr>
          <w:rFonts w:ascii="Arial" w:hAnsi="Arial" w:hint="cs"/>
          <w:noProof w:val="0"/>
          <w:rtl/>
        </w:rPr>
        <w:t xml:space="preserve">שולם </w:t>
      </w:r>
      <w:r>
        <w:rPr>
          <w:rFonts w:ascii="Arial" w:hAnsi="Arial"/>
          <w:noProof w:val="0"/>
          <w:rtl/>
        </w:rPr>
        <w:t>מס רכוש לפי מלאי עסקי ומאז שנת 1997 לאור חוק עידוד ה</w:t>
      </w:r>
      <w:r w:rsidR="00B602F9">
        <w:rPr>
          <w:rFonts w:ascii="Arial" w:hAnsi="Arial"/>
          <w:noProof w:val="0"/>
          <w:rtl/>
        </w:rPr>
        <w:t>שקעות הון היה פטור ממס רכוש. ה</w:t>
      </w:r>
      <w:r w:rsidR="00B602F9">
        <w:rPr>
          <w:rFonts w:ascii="Arial" w:hAnsi="Arial" w:hint="cs"/>
          <w:noProof w:val="0"/>
          <w:rtl/>
        </w:rPr>
        <w:t xml:space="preserve">גשת הבקשה לפי חוק העידוד דווחה לרשות </w:t>
      </w:r>
      <w:proofErr w:type="spellStart"/>
      <w:r w:rsidR="00B602F9">
        <w:rPr>
          <w:rFonts w:ascii="Arial" w:hAnsi="Arial" w:hint="cs"/>
          <w:noProof w:val="0"/>
          <w:rtl/>
        </w:rPr>
        <w:t>המסים</w:t>
      </w:r>
      <w:proofErr w:type="spellEnd"/>
      <w:r w:rsidR="00B602F9">
        <w:rPr>
          <w:rFonts w:ascii="Arial" w:hAnsi="Arial" w:hint="cs"/>
          <w:noProof w:val="0"/>
          <w:rtl/>
        </w:rPr>
        <w:t xml:space="preserve"> והמשיב אישר כי לאחר שנת 1997 המערערים לא ביקשו לשלם מס רכוש מופחת, כפי שמשולם על מלאי עסקי.</w:t>
      </w:r>
    </w:p>
    <w:p w14:paraId="1F069FA8" w14:textId="77777777" w:rsidR="00BB183F" w:rsidRDefault="00BB183F" w:rsidP="00BB183F">
      <w:pPr>
        <w:pStyle w:val="ad"/>
        <w:spacing w:line="360" w:lineRule="auto"/>
        <w:jc w:val="both"/>
        <w:rPr>
          <w:rFonts w:ascii="Arial" w:hAnsi="Arial"/>
          <w:noProof w:val="0"/>
        </w:rPr>
      </w:pPr>
    </w:p>
    <w:p w14:paraId="5C27A5FA" w14:textId="77777777" w:rsidR="00BB183F" w:rsidRDefault="00BB183F" w:rsidP="00BB183F">
      <w:pPr>
        <w:spacing w:line="360" w:lineRule="auto"/>
        <w:jc w:val="both"/>
        <w:rPr>
          <w:rFonts w:ascii="Arial" w:hAnsi="Arial"/>
          <w:noProof w:val="0"/>
          <w:rtl/>
        </w:rPr>
      </w:pPr>
      <w:r>
        <w:rPr>
          <w:rFonts w:ascii="Arial" w:hAnsi="Arial"/>
          <w:noProof w:val="0"/>
          <w:u w:val="single"/>
          <w:rtl/>
        </w:rPr>
        <w:t>תחולת חוק עידוד השקעות הון</w:t>
      </w:r>
    </w:p>
    <w:p w14:paraId="78175FA1" w14:textId="77777777" w:rsidR="00BB183F" w:rsidRDefault="00B602F9" w:rsidP="00AD7CA5">
      <w:pPr>
        <w:pStyle w:val="ad"/>
        <w:numPr>
          <w:ilvl w:val="0"/>
          <w:numId w:val="1"/>
        </w:numPr>
        <w:spacing w:line="360" w:lineRule="auto"/>
        <w:jc w:val="both"/>
        <w:rPr>
          <w:rFonts w:ascii="Arial" w:hAnsi="Arial"/>
          <w:noProof w:val="0"/>
          <w:rtl/>
        </w:rPr>
      </w:pPr>
      <w:r>
        <w:rPr>
          <w:rFonts w:ascii="Arial" w:hAnsi="Arial" w:hint="cs"/>
          <w:noProof w:val="0"/>
          <w:rtl/>
        </w:rPr>
        <w:t>מקרקעין שנבנים בהתאם לחוק העידוד אינם יכולים להוות מלאי עסקי. משמעות הפניה לקבלת אישור לפי חוק העידוד הינה כי לגישת המערערים מדובר ברכוש קבוע.</w:t>
      </w:r>
      <w:r w:rsidR="00A211B1">
        <w:rPr>
          <w:rFonts w:ascii="Arial" w:hAnsi="Arial" w:hint="cs"/>
          <w:noProof w:val="0"/>
          <w:rtl/>
        </w:rPr>
        <w:t xml:space="preserve"> </w:t>
      </w:r>
      <w:r w:rsidR="00BB183F">
        <w:rPr>
          <w:rFonts w:ascii="Arial" w:hAnsi="Arial"/>
          <w:noProof w:val="0"/>
          <w:rtl/>
        </w:rPr>
        <w:t>סעיף 85(ד)(1) לפקודה קובע מתי יוערך מלאי עסקי כנמכר בסכום עלות (להבדיל מסכום שווי כהגדרתו בסעי</w:t>
      </w:r>
      <w:r w:rsidR="0031017B">
        <w:rPr>
          <w:rFonts w:ascii="Arial" w:hAnsi="Arial"/>
          <w:noProof w:val="0"/>
          <w:rtl/>
        </w:rPr>
        <w:t>ף 85(ג) לפקודה)</w:t>
      </w:r>
      <w:r w:rsidR="0031017B">
        <w:rPr>
          <w:rFonts w:ascii="Arial" w:hAnsi="Arial" w:hint="cs"/>
          <w:noProof w:val="0"/>
          <w:rtl/>
        </w:rPr>
        <w:t xml:space="preserve"> </w:t>
      </w:r>
      <w:r w:rsidR="00AD7CA5">
        <w:rPr>
          <w:rFonts w:ascii="Arial" w:hAnsi="Arial" w:hint="cs"/>
          <w:noProof w:val="0"/>
          <w:rtl/>
        </w:rPr>
        <w:t>כ</w:t>
      </w:r>
      <w:r w:rsidR="0031017B">
        <w:rPr>
          <w:rFonts w:ascii="Arial" w:hAnsi="Arial" w:hint="cs"/>
          <w:noProof w:val="0"/>
          <w:rtl/>
        </w:rPr>
        <w:t>האי לישנא</w:t>
      </w:r>
      <w:r w:rsidR="00BB183F">
        <w:rPr>
          <w:rFonts w:ascii="Arial" w:hAnsi="Arial"/>
          <w:noProof w:val="0"/>
          <w:rtl/>
        </w:rPr>
        <w:t>:</w:t>
      </w:r>
    </w:p>
    <w:p w14:paraId="33BC8E56" w14:textId="77777777" w:rsidR="00BB183F" w:rsidRDefault="00BB183F" w:rsidP="00BB183F">
      <w:pPr>
        <w:pStyle w:val="ad"/>
        <w:spacing w:line="360" w:lineRule="auto"/>
        <w:jc w:val="both"/>
        <w:rPr>
          <w:rFonts w:ascii="Arial" w:hAnsi="Arial"/>
          <w:noProof w:val="0"/>
        </w:rPr>
      </w:pPr>
    </w:p>
    <w:p w14:paraId="63AD53FA" w14:textId="77777777" w:rsidR="00BB183F" w:rsidRDefault="00BB183F" w:rsidP="00BB183F">
      <w:pPr>
        <w:pStyle w:val="p02"/>
        <w:bidi/>
        <w:spacing w:before="0" w:beforeAutospacing="0" w:after="0" w:afterAutospacing="0" w:line="360" w:lineRule="auto"/>
        <w:ind w:left="1417"/>
        <w:jc w:val="both"/>
        <w:rPr>
          <w:rFonts w:ascii="David" w:hAnsi="David" w:cs="David"/>
          <w:b/>
          <w:bCs/>
          <w:color w:val="000000"/>
          <w:u w:val="single"/>
        </w:rPr>
      </w:pPr>
      <w:r>
        <w:rPr>
          <w:rStyle w:val="default"/>
          <w:rFonts w:ascii="David" w:hAnsi="David" w:cs="David"/>
          <w:b/>
          <w:bCs/>
          <w:color w:val="000000"/>
          <w:rtl/>
        </w:rPr>
        <w:t>"(ד)  (1)   על אף האמור בסעיף קטן (א)(2), יראו מלאי עסקי כמפורט להלן, כנמכר בסכום העלות:</w:t>
      </w:r>
    </w:p>
    <w:p w14:paraId="0B7B9CC1" w14:textId="77777777" w:rsidR="00BB183F" w:rsidRDefault="00BB183F" w:rsidP="00BB183F">
      <w:pPr>
        <w:pStyle w:val="p33"/>
        <w:bidi/>
        <w:spacing w:before="0" w:beforeAutospacing="0" w:after="0" w:afterAutospacing="0" w:line="360" w:lineRule="auto"/>
        <w:ind w:left="1417"/>
        <w:rPr>
          <w:rFonts w:ascii="David" w:hAnsi="David" w:cs="David"/>
          <w:b/>
          <w:bCs/>
        </w:rPr>
      </w:pPr>
      <w:r>
        <w:rPr>
          <w:rStyle w:val="default"/>
          <w:rFonts w:ascii="David" w:hAnsi="David" w:cs="David"/>
          <w:b/>
          <w:bCs/>
          <w:rtl/>
        </w:rPr>
        <w:t>(תיקון מס' 258) תשפ"ב-2021</w:t>
      </w:r>
    </w:p>
    <w:p w14:paraId="2039400D" w14:textId="77777777" w:rsidR="00BB183F" w:rsidRDefault="00BB183F" w:rsidP="00BB183F">
      <w:pPr>
        <w:pStyle w:val="p33"/>
        <w:bidi/>
        <w:spacing w:before="0" w:beforeAutospacing="0" w:after="0" w:afterAutospacing="0" w:line="360" w:lineRule="auto"/>
        <w:ind w:left="1417"/>
        <w:jc w:val="both"/>
        <w:rPr>
          <w:rFonts w:ascii="David" w:hAnsi="David" w:cs="David"/>
          <w:b/>
          <w:bCs/>
          <w:rtl/>
        </w:rPr>
      </w:pPr>
      <w:r>
        <w:rPr>
          <w:rStyle w:val="default"/>
          <w:rFonts w:ascii="David" w:hAnsi="David" w:cs="David"/>
          <w:b/>
          <w:bCs/>
          <w:rtl/>
        </w:rPr>
        <w:t xml:space="preserve">(א)   בנין שהפכוהו </w:t>
      </w:r>
      <w:proofErr w:type="spellStart"/>
      <w:r>
        <w:rPr>
          <w:rStyle w:val="default"/>
          <w:rFonts w:ascii="David" w:hAnsi="David" w:cs="David"/>
          <w:b/>
          <w:bCs/>
          <w:rtl/>
        </w:rPr>
        <w:t>לבנין</w:t>
      </w:r>
      <w:proofErr w:type="spellEnd"/>
      <w:r>
        <w:rPr>
          <w:rStyle w:val="default"/>
          <w:rFonts w:ascii="David" w:hAnsi="David" w:cs="David"/>
          <w:b/>
          <w:bCs/>
          <w:rtl/>
        </w:rPr>
        <w:t xml:space="preserve"> להשכרה או לבניין לשכירות מוסדית כהגדרתם בסעיף 53א לחוק לעידוד השקעות הון, תשי"ט-1959 (להלן בסעיף קטן זה – חוק העידוד);</w:t>
      </w:r>
    </w:p>
    <w:p w14:paraId="4F5B0571" w14:textId="77777777" w:rsidR="00BB183F" w:rsidRDefault="00BB183F" w:rsidP="00BB183F">
      <w:pPr>
        <w:pStyle w:val="p33"/>
        <w:bidi/>
        <w:spacing w:before="0" w:beforeAutospacing="0" w:after="0" w:afterAutospacing="0" w:line="360" w:lineRule="auto"/>
        <w:ind w:left="1417"/>
        <w:rPr>
          <w:rFonts w:ascii="David" w:hAnsi="David" w:cs="David"/>
          <w:b/>
          <w:bCs/>
          <w:rtl/>
        </w:rPr>
      </w:pPr>
      <w:r>
        <w:rPr>
          <w:rStyle w:val="default"/>
          <w:rFonts w:ascii="David" w:hAnsi="David" w:cs="David"/>
          <w:b/>
          <w:bCs/>
          <w:rtl/>
        </w:rPr>
        <w:t>(תיקון מס' 258) תשפ"ב-2021</w:t>
      </w:r>
    </w:p>
    <w:p w14:paraId="71ECAE44" w14:textId="77777777" w:rsidR="00BB183F" w:rsidRDefault="00BB183F" w:rsidP="00BB183F">
      <w:pPr>
        <w:pStyle w:val="p33"/>
        <w:bidi/>
        <w:spacing w:before="0" w:beforeAutospacing="0" w:after="0" w:afterAutospacing="0" w:line="360" w:lineRule="auto"/>
        <w:ind w:left="1417"/>
        <w:jc w:val="both"/>
        <w:rPr>
          <w:rFonts w:ascii="David" w:hAnsi="David" w:cs="David"/>
          <w:b/>
          <w:bCs/>
          <w:color w:val="000000"/>
          <w:u w:val="single"/>
          <w:rtl/>
        </w:rPr>
      </w:pPr>
      <w:r>
        <w:rPr>
          <w:rStyle w:val="default"/>
          <w:rFonts w:ascii="David" w:hAnsi="David" w:cs="David"/>
          <w:b/>
          <w:bCs/>
          <w:color w:val="000000"/>
          <w:rtl/>
        </w:rPr>
        <w:t xml:space="preserve">(ב)   מגרש שנכלל </w:t>
      </w:r>
      <w:proofErr w:type="spellStart"/>
      <w:r>
        <w:rPr>
          <w:rStyle w:val="default"/>
          <w:rFonts w:ascii="David" w:hAnsi="David" w:cs="David"/>
          <w:b/>
          <w:bCs/>
          <w:color w:val="000000"/>
          <w:rtl/>
        </w:rPr>
        <w:t>בתכנית</w:t>
      </w:r>
      <w:proofErr w:type="spellEnd"/>
      <w:r>
        <w:rPr>
          <w:rStyle w:val="default"/>
          <w:rFonts w:ascii="David" w:hAnsi="David" w:cs="David"/>
          <w:b/>
          <w:bCs/>
          <w:color w:val="000000"/>
          <w:rtl/>
        </w:rPr>
        <w:t xml:space="preserve"> מאושרת על פי חוק העידוד למטרת בניית בנין להשכרה או בניין לשכירות מוסדית כהגדרתם בסעיף 53א לחוק האמור, שנבנה עליו בניין להשכרה או בניין לשכירות מוסדית כאמור, בהתאמה;</w:t>
      </w:r>
    </w:p>
    <w:p w14:paraId="1FE66E53" w14:textId="77777777" w:rsidR="00BB183F" w:rsidRDefault="00BB183F" w:rsidP="00BB183F">
      <w:pPr>
        <w:pStyle w:val="p33"/>
        <w:bidi/>
        <w:spacing w:before="0" w:beforeAutospacing="0" w:after="0" w:afterAutospacing="0" w:line="360" w:lineRule="auto"/>
        <w:ind w:left="1417"/>
        <w:jc w:val="both"/>
        <w:rPr>
          <w:rFonts w:ascii="David" w:hAnsi="David" w:cs="David"/>
          <w:b/>
          <w:bCs/>
          <w:color w:val="000000"/>
          <w:rtl/>
        </w:rPr>
      </w:pPr>
      <w:r>
        <w:rPr>
          <w:rStyle w:val="default"/>
          <w:rFonts w:ascii="David" w:hAnsi="David" w:cs="David"/>
          <w:b/>
          <w:bCs/>
          <w:color w:val="000000"/>
          <w:rtl/>
        </w:rPr>
        <w:t xml:space="preserve">(ג)    בנין או מגרש כאמור בפסקאות משנה (א) או (ב), שהועבר לבעלותה של חברה שחברים בה כל בעלי העסק באופן המקנה להם זכויות לנכס כזכויותיהם בעסק, אם ההעברה לחברה </w:t>
      </w:r>
      <w:proofErr w:type="spellStart"/>
      <w:r>
        <w:rPr>
          <w:rStyle w:val="default"/>
          <w:rFonts w:ascii="David" w:hAnsi="David" w:cs="David"/>
          <w:b/>
          <w:bCs/>
          <w:color w:val="000000"/>
          <w:rtl/>
        </w:rPr>
        <w:t>היתה</w:t>
      </w:r>
      <w:proofErr w:type="spellEnd"/>
      <w:r>
        <w:rPr>
          <w:rStyle w:val="default"/>
          <w:rFonts w:ascii="David" w:hAnsi="David" w:cs="David"/>
          <w:b/>
          <w:bCs/>
          <w:color w:val="000000"/>
          <w:rtl/>
        </w:rPr>
        <w:t xml:space="preserve"> בהתאם לדרישת </w:t>
      </w:r>
      <w:proofErr w:type="spellStart"/>
      <w:r>
        <w:rPr>
          <w:rStyle w:val="default"/>
          <w:rFonts w:ascii="David" w:hAnsi="David" w:cs="David"/>
          <w:b/>
          <w:bCs/>
          <w:color w:val="000000"/>
          <w:rtl/>
        </w:rPr>
        <w:t>מינהלת</w:t>
      </w:r>
      <w:proofErr w:type="spellEnd"/>
      <w:r>
        <w:rPr>
          <w:rStyle w:val="default"/>
          <w:rFonts w:ascii="David" w:hAnsi="David" w:cs="David"/>
          <w:b/>
          <w:bCs/>
          <w:color w:val="000000"/>
          <w:rtl/>
        </w:rPr>
        <w:t xml:space="preserve"> מרכז ההשקעות כמשמעותה בחוק העידוד.</w:t>
      </w:r>
      <w:r>
        <w:rPr>
          <w:rFonts w:ascii="David" w:hAnsi="David" w:cs="David"/>
          <w:b/>
          <w:bCs/>
          <w:color w:val="000000"/>
          <w:rtl/>
        </w:rPr>
        <w:t xml:space="preserve">" </w:t>
      </w:r>
    </w:p>
    <w:p w14:paraId="6623374C" w14:textId="77777777" w:rsidR="00BB183F" w:rsidRDefault="00BB183F" w:rsidP="00BB183F">
      <w:pPr>
        <w:pStyle w:val="ad"/>
        <w:spacing w:line="360" w:lineRule="auto"/>
        <w:jc w:val="both"/>
        <w:rPr>
          <w:rFonts w:ascii="Arial" w:hAnsi="Arial"/>
          <w:noProof w:val="0"/>
          <w:rtl/>
        </w:rPr>
      </w:pPr>
    </w:p>
    <w:p w14:paraId="700D53F2" w14:textId="77777777" w:rsidR="00BB183F" w:rsidRDefault="00BB183F" w:rsidP="00BB183F">
      <w:pPr>
        <w:pStyle w:val="ad"/>
        <w:numPr>
          <w:ilvl w:val="0"/>
          <w:numId w:val="1"/>
        </w:numPr>
        <w:spacing w:line="360" w:lineRule="auto"/>
        <w:jc w:val="both"/>
        <w:rPr>
          <w:rFonts w:ascii="Arial" w:hAnsi="Arial"/>
          <w:noProof w:val="0"/>
        </w:rPr>
      </w:pPr>
      <w:r>
        <w:rPr>
          <w:rFonts w:ascii="Arial" w:hAnsi="Arial"/>
          <w:noProof w:val="0"/>
          <w:rtl/>
        </w:rPr>
        <w:t xml:space="preserve">ביום 16.12.1997 ניתן היתר בניה לשלושה בניינים במסגרת החוק לעידוד השקעות הון. בהתאם, טענו המערערים כי אישור מרכז ההשקעות להשכרת הבניין למגורים מראה כי מדובר ברכוש קבוע משנת 1997 וכי שינוי הייעוד נעשה בשנה זו עם מתן האישור. עם קבלת ההיתר ומשכוונתם הייתה להעביר את המקרקעין המהווים מלאי עסקי למעמד של נכס הון, טענו המערערים לתחולת הוראות </w:t>
      </w:r>
      <w:hyperlink r:id="rId11" w:tgtFrame="blank" w:history="1">
        <w:r>
          <w:rPr>
            <w:rStyle w:val="Hyperlink"/>
            <w:rFonts w:ascii="Arial" w:hAnsi="Arial"/>
            <w:noProof w:val="0"/>
            <w:rtl/>
          </w:rPr>
          <w:t>סעיף 85(ד)(1)(ב)</w:t>
        </w:r>
      </w:hyperlink>
      <w:r>
        <w:rPr>
          <w:rFonts w:ascii="Arial" w:hAnsi="Arial"/>
          <w:noProof w:val="0"/>
          <w:rtl/>
        </w:rPr>
        <w:t xml:space="preserve"> </w:t>
      </w:r>
      <w:r>
        <w:rPr>
          <w:rFonts w:ascii="Arial" w:hAnsi="Arial" w:hint="cs"/>
          <w:noProof w:val="0"/>
          <w:rtl/>
        </w:rPr>
        <w:t xml:space="preserve">לפקודה לגביהם; </w:t>
      </w:r>
      <w:r>
        <w:rPr>
          <w:rFonts w:ascii="David" w:hAnsi="David"/>
          <w:color w:val="000000"/>
          <w:shd w:val="clear" w:color="auto" w:fill="FFFFFF"/>
          <w:rtl/>
        </w:rPr>
        <w:t xml:space="preserve">האישור ניתן ביחס למגרש, </w:t>
      </w:r>
      <w:r w:rsidR="00A211B1">
        <w:rPr>
          <w:rFonts w:ascii="David" w:hAnsi="David" w:hint="cs"/>
          <w:color w:val="000000"/>
          <w:shd w:val="clear" w:color="auto" w:fill="FFFFFF"/>
          <w:rtl/>
        </w:rPr>
        <w:t>ו</w:t>
      </w:r>
      <w:r>
        <w:rPr>
          <w:rFonts w:ascii="David" w:hAnsi="David"/>
          <w:color w:val="000000"/>
          <w:shd w:val="clear" w:color="auto" w:fill="FFFFFF"/>
          <w:rtl/>
        </w:rPr>
        <w:t>יש לקבוע את שווי ה</w:t>
      </w:r>
      <w:r w:rsidR="00A211B1">
        <w:rPr>
          <w:rFonts w:ascii="David" w:hAnsi="David"/>
          <w:color w:val="000000"/>
          <w:shd w:val="clear" w:color="auto" w:fill="FFFFFF"/>
          <w:rtl/>
        </w:rPr>
        <w:t>עיסקה</w:t>
      </w:r>
      <w:r>
        <w:rPr>
          <w:rFonts w:ascii="David" w:hAnsi="David"/>
          <w:color w:val="000000"/>
          <w:shd w:val="clear" w:color="auto" w:fill="FFFFFF"/>
          <w:rtl/>
        </w:rPr>
        <w:t>, כאילו המדובר בהעברה של מגרש, במחיר העלות</w:t>
      </w:r>
      <w:r w:rsidR="00A211B1">
        <w:rPr>
          <w:rFonts w:ascii="Arial" w:hAnsi="Arial" w:hint="cs"/>
          <w:noProof w:val="0"/>
          <w:rtl/>
        </w:rPr>
        <w:t xml:space="preserve"> (ללא רווח אותו ניתן למסות).</w:t>
      </w:r>
    </w:p>
    <w:p w14:paraId="4A5A55FC" w14:textId="77777777" w:rsidR="00BB183F" w:rsidRDefault="00BB183F" w:rsidP="00BB183F">
      <w:pPr>
        <w:pStyle w:val="ad"/>
        <w:spacing w:line="360" w:lineRule="auto"/>
        <w:jc w:val="both"/>
        <w:rPr>
          <w:rFonts w:ascii="David" w:hAnsi="David"/>
          <w:noProof w:val="0"/>
          <w:rtl/>
        </w:rPr>
      </w:pPr>
    </w:p>
    <w:p w14:paraId="06A1941E" w14:textId="77777777" w:rsidR="00BB183F" w:rsidRDefault="00BB183F" w:rsidP="00BB183F">
      <w:pPr>
        <w:pStyle w:val="ad"/>
        <w:numPr>
          <w:ilvl w:val="0"/>
          <w:numId w:val="1"/>
        </w:numPr>
        <w:spacing w:line="360" w:lineRule="auto"/>
        <w:jc w:val="both"/>
        <w:rPr>
          <w:rFonts w:ascii="David" w:hAnsi="David"/>
          <w:noProof w:val="0"/>
        </w:rPr>
      </w:pPr>
      <w:r>
        <w:rPr>
          <w:rFonts w:ascii="David" w:hAnsi="David"/>
          <w:noProof w:val="0"/>
          <w:rtl/>
        </w:rPr>
        <w:t xml:space="preserve">במהלך הדיון עלתה הטענה לפיה אחת </w:t>
      </w:r>
      <w:proofErr w:type="spellStart"/>
      <w:r>
        <w:rPr>
          <w:rFonts w:ascii="David" w:hAnsi="David"/>
          <w:noProof w:val="0"/>
          <w:rtl/>
        </w:rPr>
        <w:t>התכניות</w:t>
      </w:r>
      <w:proofErr w:type="spellEnd"/>
      <w:r>
        <w:rPr>
          <w:rFonts w:ascii="David" w:hAnsi="David"/>
          <w:noProof w:val="0"/>
          <w:rtl/>
        </w:rPr>
        <w:t xml:space="preserve"> בוטלה משכתב האישור שמספרו 392 בוטל במהלך שנת 2013, באופן המעקר את עמדת המערערים. המשיב הפנה להסכם שנערך בין המערערים למרכז ההשקעות, כאשר לטענתו מהסכם זה עולה כי המערערים היו מודעים לביטול כתב האישור לפי חוק העידוד. באופן הזה ביקש המשיב להראות </w:t>
      </w:r>
      <w:r w:rsidR="00A211B1">
        <w:rPr>
          <w:rFonts w:ascii="David" w:hAnsi="David"/>
          <w:noProof w:val="0"/>
          <w:rtl/>
        </w:rPr>
        <w:t xml:space="preserve">כי המערערים לא נכנסים בגדר </w:t>
      </w:r>
      <w:r w:rsidR="00A211B1">
        <w:rPr>
          <w:rFonts w:ascii="David" w:hAnsi="David" w:hint="cs"/>
          <w:noProof w:val="0"/>
          <w:rtl/>
        </w:rPr>
        <w:t xml:space="preserve">הוראת </w:t>
      </w:r>
      <w:r>
        <w:rPr>
          <w:rFonts w:ascii="David" w:hAnsi="David"/>
          <w:noProof w:val="0"/>
          <w:rtl/>
        </w:rPr>
        <w:t>סעיף 85(ד)(1)(ב) לפקודה, וכי יש לקבוע את שווי השוק בעת העברת המקרקעין מרכוש שוטף לרכוש קבוע, ולא כטענת המערערים</w:t>
      </w:r>
      <w:r w:rsidR="00A211B1">
        <w:rPr>
          <w:rFonts w:ascii="David" w:hAnsi="David" w:hint="cs"/>
          <w:noProof w:val="0"/>
          <w:rtl/>
        </w:rPr>
        <w:t>, דהיינו,</w:t>
      </w:r>
      <w:r>
        <w:rPr>
          <w:rFonts w:ascii="David" w:hAnsi="David"/>
          <w:noProof w:val="0"/>
          <w:rtl/>
        </w:rPr>
        <w:t xml:space="preserve"> לפי מחיר העלות.</w:t>
      </w:r>
    </w:p>
    <w:p w14:paraId="7FBC0821" w14:textId="77777777" w:rsidR="00BB183F" w:rsidRDefault="00BB183F" w:rsidP="00BB183F">
      <w:pPr>
        <w:pStyle w:val="ad"/>
        <w:rPr>
          <w:rFonts w:ascii="David" w:hAnsi="David"/>
          <w:noProof w:val="0"/>
        </w:rPr>
      </w:pPr>
    </w:p>
    <w:p w14:paraId="6B90D3E5" w14:textId="77777777" w:rsidR="00BB183F" w:rsidRDefault="00BB183F" w:rsidP="00BB183F">
      <w:pPr>
        <w:pStyle w:val="ad"/>
        <w:numPr>
          <w:ilvl w:val="0"/>
          <w:numId w:val="1"/>
        </w:numPr>
        <w:spacing w:line="360" w:lineRule="auto"/>
        <w:jc w:val="both"/>
        <w:rPr>
          <w:rFonts w:ascii="David" w:hAnsi="David"/>
          <w:noProof w:val="0"/>
          <w:rtl/>
        </w:rPr>
      </w:pPr>
      <w:r>
        <w:rPr>
          <w:rFonts w:ascii="David" w:hAnsi="David"/>
          <w:noProof w:val="0"/>
          <w:rtl/>
        </w:rPr>
        <w:t xml:space="preserve"> אלא שנושא מודעותם של המערערים לביטול כאמור, כלל לא נובע מהמסמך שהוגש על ידי המשיב, אשר חזר בו משאלתו לאור הערת בית המשפט כי לא ניתן לקרא בהסכם את שביקש המשיב לקרא בו (עמודים 31-32 לפרוטוקול, שורות 19-13 בהתאמה):</w:t>
      </w:r>
    </w:p>
    <w:p w14:paraId="2E1DE66A" w14:textId="77777777" w:rsidR="00BB183F" w:rsidRDefault="00BB183F" w:rsidP="00BB183F">
      <w:pPr>
        <w:pStyle w:val="ad"/>
        <w:rPr>
          <w:rFonts w:ascii="David" w:hAnsi="David"/>
          <w:noProof w:val="0"/>
        </w:rPr>
      </w:pPr>
    </w:p>
    <w:p w14:paraId="4C1D2B7A" w14:textId="77777777" w:rsidR="00BB183F" w:rsidRDefault="00BB183F" w:rsidP="00BB183F">
      <w:pPr>
        <w:widowControl w:val="0"/>
        <w:tabs>
          <w:tab w:val="left" w:pos="1699"/>
        </w:tabs>
        <w:spacing w:line="360" w:lineRule="auto"/>
        <w:ind w:left="1417" w:hanging="1701"/>
        <w:jc w:val="both"/>
        <w:rPr>
          <w:noProof w:val="0"/>
          <w:rtl/>
        </w:rPr>
      </w:pPr>
      <w:r>
        <w:rPr>
          <w:rtl/>
        </w:rPr>
        <w:t xml:space="preserve">                                    "</w:t>
      </w:r>
      <w:r>
        <w:rPr>
          <w:b/>
          <w:bCs/>
          <w:rtl/>
        </w:rPr>
        <w:t>כב' השופט:</w:t>
      </w:r>
      <w:r>
        <w:rPr>
          <w:rtl/>
        </w:rPr>
        <w:tab/>
        <w:t xml:space="preserve">איפה כתוב כאן בכלל משהו על ביטול האישור? </w:t>
      </w:r>
    </w:p>
    <w:p w14:paraId="1619BF4A" w14:textId="77777777" w:rsidR="00BB183F" w:rsidRDefault="00BB183F" w:rsidP="00BB183F">
      <w:pPr>
        <w:widowControl w:val="0"/>
        <w:tabs>
          <w:tab w:val="left" w:pos="1699"/>
        </w:tabs>
        <w:spacing w:line="360" w:lineRule="auto"/>
        <w:ind w:left="1417" w:hanging="1701"/>
        <w:jc w:val="both"/>
      </w:pPr>
      <w:bookmarkStart w:id="57" w:name="_ETM_Q_2300841"/>
      <w:bookmarkEnd w:id="57"/>
      <w:r>
        <w:rPr>
          <w:b/>
          <w:bCs/>
          <w:rtl/>
        </w:rPr>
        <w:t xml:space="preserve">                                    עו"ד זילברמן:</w:t>
      </w:r>
      <w:r>
        <w:rPr>
          <w:rtl/>
        </w:rPr>
        <w:t xml:space="preserve"> לא</w:t>
      </w:r>
      <w:bookmarkStart w:id="58" w:name="_ETM_Q_2302788"/>
      <w:bookmarkEnd w:id="58"/>
      <w:r>
        <w:rPr>
          <w:rtl/>
        </w:rPr>
        <w:t xml:space="preserve"> כתוב. בדיוק. אני לא מבין את זה מכאן.</w:t>
      </w:r>
      <w:bookmarkStart w:id="59" w:name="_ETM_Q_2302940"/>
      <w:bookmarkEnd w:id="59"/>
    </w:p>
    <w:p w14:paraId="74CC36CC" w14:textId="77777777" w:rsidR="00BB183F" w:rsidRDefault="00BB183F" w:rsidP="00BB183F">
      <w:pPr>
        <w:widowControl w:val="0"/>
        <w:tabs>
          <w:tab w:val="left" w:pos="1699"/>
        </w:tabs>
        <w:spacing w:line="360" w:lineRule="auto"/>
        <w:ind w:left="1417" w:hanging="1701"/>
        <w:jc w:val="both"/>
      </w:pPr>
      <w:r>
        <w:rPr>
          <w:b/>
          <w:bCs/>
          <w:rtl/>
        </w:rPr>
        <w:lastRenderedPageBreak/>
        <w:t xml:space="preserve">                                    עו"ד דומבר</w:t>
      </w:r>
      <w:r w:rsidR="00AD7CA5">
        <w:rPr>
          <w:rFonts w:hint="cs"/>
          <w:b/>
          <w:bCs/>
          <w:rtl/>
        </w:rPr>
        <w:t>ו</w:t>
      </w:r>
      <w:r>
        <w:rPr>
          <w:b/>
          <w:bCs/>
          <w:rtl/>
        </w:rPr>
        <w:t>ביץ':</w:t>
      </w:r>
      <w:r>
        <w:rPr>
          <w:rtl/>
        </w:rPr>
        <w:t xml:space="preserve"> זה, מה שאדוני</w:t>
      </w:r>
      <w:bookmarkStart w:id="60" w:name="_ETM_Q_2304890"/>
      <w:bookmarkEnd w:id="60"/>
      <w:r>
        <w:rPr>
          <w:rtl/>
        </w:rPr>
        <w:t xml:space="preserve"> מופיע בדו"ח הכספי של 2019. </w:t>
      </w:r>
      <w:bookmarkStart w:id="61" w:name="_ETM_Q_2306043"/>
      <w:bookmarkEnd w:id="61"/>
    </w:p>
    <w:p w14:paraId="595F23CC" w14:textId="77777777" w:rsidR="00BB183F" w:rsidRDefault="00BB183F" w:rsidP="00BB183F">
      <w:pPr>
        <w:widowControl w:val="0"/>
        <w:tabs>
          <w:tab w:val="left" w:pos="1699"/>
        </w:tabs>
        <w:spacing w:line="360" w:lineRule="auto"/>
        <w:ind w:left="1417" w:hanging="1701"/>
        <w:jc w:val="both"/>
        <w:rPr>
          <w:rtl/>
        </w:rPr>
      </w:pPr>
      <w:r>
        <w:rPr>
          <w:b/>
          <w:bCs/>
          <w:rtl/>
        </w:rPr>
        <w:t xml:space="preserve">                                    עו"ד זילברמן:</w:t>
      </w:r>
      <w:r>
        <w:rPr>
          <w:rtl/>
        </w:rPr>
        <w:t xml:space="preserve"> בסדר אז למה, </w:t>
      </w:r>
      <w:bookmarkStart w:id="62" w:name="_ETM_Q_2307645"/>
      <w:bookmarkEnd w:id="62"/>
    </w:p>
    <w:p w14:paraId="31ED3455" w14:textId="77777777" w:rsidR="00BB183F" w:rsidRDefault="00BB183F" w:rsidP="00BB183F">
      <w:pPr>
        <w:widowControl w:val="0"/>
        <w:tabs>
          <w:tab w:val="left" w:pos="1699"/>
        </w:tabs>
        <w:spacing w:line="360" w:lineRule="auto"/>
        <w:ind w:left="1417" w:hanging="1701"/>
        <w:jc w:val="both"/>
        <w:rPr>
          <w:rtl/>
        </w:rPr>
      </w:pPr>
      <w:r>
        <w:rPr>
          <w:b/>
          <w:bCs/>
          <w:rtl/>
        </w:rPr>
        <w:t xml:space="preserve">                                    כב' השופט:</w:t>
      </w:r>
      <w:r>
        <w:rPr>
          <w:rtl/>
        </w:rPr>
        <w:t xml:space="preserve"> עזוב את הדו"ח הכספי.</w:t>
      </w:r>
      <w:bookmarkStart w:id="63" w:name="_ETM_Q_2309591"/>
      <w:bookmarkEnd w:id="63"/>
    </w:p>
    <w:p w14:paraId="73FD77F1" w14:textId="77777777" w:rsidR="00BB183F" w:rsidRDefault="00BB183F" w:rsidP="00BB183F">
      <w:pPr>
        <w:widowControl w:val="0"/>
        <w:tabs>
          <w:tab w:val="left" w:pos="1699"/>
        </w:tabs>
        <w:spacing w:line="360" w:lineRule="auto"/>
        <w:ind w:left="1417" w:hanging="1701"/>
        <w:jc w:val="both"/>
        <w:rPr>
          <w:rtl/>
        </w:rPr>
      </w:pPr>
      <w:r>
        <w:rPr>
          <w:b/>
          <w:bCs/>
          <w:rtl/>
        </w:rPr>
        <w:t xml:space="preserve">                                     עו"ד דומבר</w:t>
      </w:r>
      <w:r w:rsidR="00AD7CA5">
        <w:rPr>
          <w:rFonts w:hint="cs"/>
          <w:b/>
          <w:bCs/>
          <w:rtl/>
        </w:rPr>
        <w:t>ו</w:t>
      </w:r>
      <w:r>
        <w:rPr>
          <w:b/>
          <w:bCs/>
          <w:rtl/>
        </w:rPr>
        <w:t>ביץ':</w:t>
      </w:r>
      <w:r>
        <w:rPr>
          <w:rtl/>
        </w:rPr>
        <w:t xml:space="preserve"> בסדר.</w:t>
      </w:r>
      <w:bookmarkStart w:id="64" w:name="_ETM_Q_2310691"/>
      <w:bookmarkEnd w:id="64"/>
    </w:p>
    <w:p w14:paraId="5DEF5B4D" w14:textId="77777777" w:rsidR="00BB183F" w:rsidRDefault="00BB183F" w:rsidP="00BB183F">
      <w:pPr>
        <w:widowControl w:val="0"/>
        <w:tabs>
          <w:tab w:val="left" w:pos="1699"/>
        </w:tabs>
        <w:spacing w:line="360" w:lineRule="auto"/>
        <w:ind w:left="1417" w:hanging="1701"/>
        <w:jc w:val="both"/>
        <w:rPr>
          <w:rtl/>
        </w:rPr>
      </w:pPr>
      <w:r>
        <w:rPr>
          <w:b/>
          <w:bCs/>
          <w:rtl/>
        </w:rPr>
        <w:t xml:space="preserve">                                     כב' השופט:</w:t>
      </w:r>
      <w:r>
        <w:rPr>
          <w:rtl/>
        </w:rPr>
        <w:t xml:space="preserve"> הדו"ח הכספי הצגתם. עכשיו אתה אומר</w:t>
      </w:r>
      <w:bookmarkStart w:id="65" w:name="_ETM_Q_2312642"/>
      <w:bookmarkEnd w:id="65"/>
      <w:r>
        <w:rPr>
          <w:rtl/>
        </w:rPr>
        <w:t xml:space="preserve"> אני מראה גם בהסכם </w:t>
      </w:r>
    </w:p>
    <w:p w14:paraId="428E7177" w14:textId="77777777" w:rsidR="00BB183F" w:rsidRDefault="00BB183F" w:rsidP="00BB183F">
      <w:pPr>
        <w:widowControl w:val="0"/>
        <w:tabs>
          <w:tab w:val="left" w:pos="1699"/>
        </w:tabs>
        <w:spacing w:line="360" w:lineRule="auto"/>
        <w:ind w:left="1417" w:hanging="1701"/>
        <w:jc w:val="both"/>
        <w:rPr>
          <w:rtl/>
        </w:rPr>
      </w:pPr>
      <w:r>
        <w:rPr>
          <w:b/>
          <w:bCs/>
          <w:rtl/>
        </w:rPr>
        <w:t xml:space="preserve">                                     </w:t>
      </w:r>
      <w:r>
        <w:rPr>
          <w:rtl/>
        </w:rPr>
        <w:t xml:space="preserve">שזה כתוב. </w:t>
      </w:r>
      <w:bookmarkStart w:id="66" w:name="_ETM_Q_2313996"/>
      <w:bookmarkEnd w:id="66"/>
      <w:r>
        <w:rPr>
          <w:rtl/>
        </w:rPr>
        <w:t xml:space="preserve">ובהסכם נראה לי שזה לא כתוב. </w:t>
      </w:r>
      <w:bookmarkStart w:id="67" w:name="_ETM_Q_2315804"/>
      <w:bookmarkEnd w:id="67"/>
    </w:p>
    <w:p w14:paraId="6DA3A98F" w14:textId="77777777" w:rsidR="00BB183F" w:rsidRDefault="00BB183F" w:rsidP="00BB183F">
      <w:pPr>
        <w:widowControl w:val="0"/>
        <w:tabs>
          <w:tab w:val="left" w:pos="1699"/>
        </w:tabs>
        <w:spacing w:line="360" w:lineRule="auto"/>
        <w:ind w:left="1417" w:hanging="1701"/>
        <w:jc w:val="both"/>
        <w:rPr>
          <w:rtl/>
        </w:rPr>
      </w:pPr>
      <w:r>
        <w:rPr>
          <w:b/>
          <w:bCs/>
          <w:rtl/>
        </w:rPr>
        <w:t xml:space="preserve">                                     עו"ד דומבר</w:t>
      </w:r>
      <w:r w:rsidR="00AD7CA5">
        <w:rPr>
          <w:rFonts w:hint="cs"/>
          <w:b/>
          <w:bCs/>
          <w:rtl/>
        </w:rPr>
        <w:t>ו</w:t>
      </w:r>
      <w:r>
        <w:rPr>
          <w:b/>
          <w:bCs/>
          <w:rtl/>
        </w:rPr>
        <w:t>ביץ':</w:t>
      </w:r>
      <w:r>
        <w:rPr>
          <w:rtl/>
        </w:rPr>
        <w:t xml:space="preserve"> הפחת</w:t>
      </w:r>
      <w:bookmarkStart w:id="68" w:name="_ETM_Q_2317209"/>
      <w:bookmarkEnd w:id="68"/>
      <w:r>
        <w:rPr>
          <w:rtl/>
        </w:rPr>
        <w:t xml:space="preserve"> המואץ ניתן אדוני בגין חוק עידוד השקעות הון </w:t>
      </w:r>
    </w:p>
    <w:p w14:paraId="3AACD028" w14:textId="77777777" w:rsidR="00BB183F" w:rsidRDefault="00BB183F" w:rsidP="00BB183F">
      <w:pPr>
        <w:widowControl w:val="0"/>
        <w:tabs>
          <w:tab w:val="left" w:pos="1699"/>
        </w:tabs>
        <w:spacing w:line="360" w:lineRule="auto"/>
        <w:ind w:left="1417" w:hanging="1701"/>
        <w:jc w:val="both"/>
        <w:rPr>
          <w:rtl/>
        </w:rPr>
      </w:pPr>
      <w:r>
        <w:rPr>
          <w:b/>
          <w:bCs/>
          <w:rtl/>
        </w:rPr>
        <w:t xml:space="preserve">                                     </w:t>
      </w:r>
      <w:r>
        <w:rPr>
          <w:rtl/>
        </w:rPr>
        <w:t>כאשר</w:t>
      </w:r>
      <w:bookmarkStart w:id="69" w:name="_ETM_Q_2320714"/>
      <w:bookmarkEnd w:id="69"/>
      <w:r>
        <w:rPr>
          <w:rtl/>
        </w:rPr>
        <w:t xml:space="preserve"> בוטל כתב האישור הם לא יכלו לדרוש פחת מואץ. לכן,</w:t>
      </w:r>
      <w:bookmarkStart w:id="70" w:name="_ETM_Q_2324516"/>
      <w:bookmarkEnd w:id="70"/>
      <w:r>
        <w:rPr>
          <w:rtl/>
        </w:rPr>
        <w:t xml:space="preserve"> בעצם, כלומר</w:t>
      </w:r>
    </w:p>
    <w:p w14:paraId="12BA5617" w14:textId="77777777" w:rsidR="00BB183F" w:rsidRDefault="00BB183F" w:rsidP="00BB183F">
      <w:pPr>
        <w:widowControl w:val="0"/>
        <w:tabs>
          <w:tab w:val="left" w:pos="1699"/>
        </w:tabs>
        <w:spacing w:line="360" w:lineRule="auto"/>
        <w:ind w:left="1417" w:hanging="1701"/>
        <w:jc w:val="both"/>
        <w:rPr>
          <w:rtl/>
        </w:rPr>
      </w:pPr>
      <w:r>
        <w:rPr>
          <w:rtl/>
        </w:rPr>
        <w:t xml:space="preserve">                                     מה ההוצאה? הפחת מואץ שהותר, הוא תואם</w:t>
      </w:r>
      <w:bookmarkStart w:id="71" w:name="_ETM_Q_2329876"/>
      <w:bookmarkEnd w:id="71"/>
      <w:r>
        <w:rPr>
          <w:rtl/>
        </w:rPr>
        <w:t xml:space="preserve"> בהסכם הזה. </w:t>
      </w:r>
      <w:bookmarkStart w:id="72" w:name="_ETM_Q_2331526"/>
      <w:bookmarkStart w:id="73" w:name="_ETM_Q_2327780"/>
      <w:bookmarkEnd w:id="72"/>
      <w:bookmarkEnd w:id="73"/>
    </w:p>
    <w:p w14:paraId="118575BE" w14:textId="77777777" w:rsidR="00BB183F" w:rsidRDefault="00BB183F" w:rsidP="00BB183F">
      <w:pPr>
        <w:widowControl w:val="0"/>
        <w:tabs>
          <w:tab w:val="left" w:pos="1699"/>
        </w:tabs>
        <w:spacing w:line="360" w:lineRule="auto"/>
        <w:ind w:left="1417" w:hanging="1701"/>
        <w:jc w:val="both"/>
        <w:rPr>
          <w:rtl/>
        </w:rPr>
      </w:pPr>
      <w:r>
        <w:rPr>
          <w:b/>
          <w:bCs/>
          <w:rtl/>
        </w:rPr>
        <w:t xml:space="preserve">                                     עו"ד זילברמן:</w:t>
      </w:r>
      <w:r>
        <w:rPr>
          <w:rtl/>
        </w:rPr>
        <w:t xml:space="preserve"> לך אבל יש פרשנות ניסויית שלא יודע</w:t>
      </w:r>
      <w:bookmarkStart w:id="74" w:name="_ETM_Q_2335626"/>
      <w:bookmarkEnd w:id="74"/>
      <w:r>
        <w:rPr>
          <w:rtl/>
        </w:rPr>
        <w:t xml:space="preserve"> אם היא נכונה או לא </w:t>
      </w:r>
    </w:p>
    <w:p w14:paraId="4802B524" w14:textId="77777777" w:rsidR="00BB183F" w:rsidRDefault="00BB183F" w:rsidP="00BB183F">
      <w:pPr>
        <w:widowControl w:val="0"/>
        <w:tabs>
          <w:tab w:val="left" w:pos="1699"/>
        </w:tabs>
        <w:spacing w:line="360" w:lineRule="auto"/>
        <w:ind w:left="1417" w:hanging="1701"/>
        <w:jc w:val="both"/>
        <w:rPr>
          <w:rtl/>
        </w:rPr>
      </w:pPr>
      <w:r>
        <w:rPr>
          <w:b/>
          <w:bCs/>
          <w:rtl/>
        </w:rPr>
        <w:t xml:space="preserve">                                     </w:t>
      </w:r>
      <w:r>
        <w:rPr>
          <w:rtl/>
        </w:rPr>
        <w:t>נכונה  אין לי מושג, באמת.</w:t>
      </w:r>
      <w:bookmarkStart w:id="75" w:name="_ETM_Q_2336782"/>
      <w:bookmarkEnd w:id="75"/>
      <w:r>
        <w:rPr>
          <w:rtl/>
        </w:rPr>
        <w:t xml:space="preserve"> אבל, מצד אחד, מצד שני, אתה מציג לעד כרגע, </w:t>
      </w:r>
    </w:p>
    <w:p w14:paraId="2AEC0BFB" w14:textId="77777777" w:rsidR="00BB183F" w:rsidRDefault="00BB183F" w:rsidP="00BB183F">
      <w:pPr>
        <w:widowControl w:val="0"/>
        <w:tabs>
          <w:tab w:val="left" w:pos="1699"/>
        </w:tabs>
        <w:spacing w:line="360" w:lineRule="auto"/>
        <w:ind w:left="1417" w:hanging="1701"/>
        <w:jc w:val="both"/>
        <w:rPr>
          <w:rtl/>
        </w:rPr>
      </w:pPr>
      <w:r>
        <w:rPr>
          <w:rtl/>
        </w:rPr>
        <w:t xml:space="preserve">                                     אתה</w:t>
      </w:r>
      <w:bookmarkStart w:id="76" w:name="_ETM_Q_2341180"/>
      <w:bookmarkEnd w:id="76"/>
      <w:r>
        <w:rPr>
          <w:rtl/>
        </w:rPr>
        <w:t xml:space="preserve"> מנסה לברר איתו עובדה, לא פרשנות משפטית. אתה אומר, לעד,</w:t>
      </w:r>
      <w:bookmarkStart w:id="77" w:name="_ETM_Q_2343334"/>
      <w:bookmarkEnd w:id="77"/>
      <w:r>
        <w:rPr>
          <w:rtl/>
        </w:rPr>
        <w:t xml:space="preserve"> </w:t>
      </w:r>
    </w:p>
    <w:p w14:paraId="3C947739" w14:textId="77777777" w:rsidR="00BB183F" w:rsidRDefault="00BB183F" w:rsidP="00BB183F">
      <w:pPr>
        <w:widowControl w:val="0"/>
        <w:tabs>
          <w:tab w:val="left" w:pos="1699"/>
        </w:tabs>
        <w:spacing w:line="360" w:lineRule="auto"/>
        <w:ind w:left="1417" w:hanging="1701"/>
        <w:jc w:val="both"/>
        <w:rPr>
          <w:rtl/>
        </w:rPr>
      </w:pPr>
      <w:r>
        <w:rPr>
          <w:rtl/>
        </w:rPr>
        <w:t xml:space="preserve">                                     שלכאורה,  הוא חתם בחתימת ידו, על כך שהוא מסכים</w:t>
      </w:r>
      <w:bookmarkStart w:id="78" w:name="_ETM_Q_2349833"/>
      <w:bookmarkEnd w:id="78"/>
      <w:r>
        <w:rPr>
          <w:rtl/>
        </w:rPr>
        <w:t xml:space="preserve"> לביטול הטבות המס. </w:t>
      </w:r>
    </w:p>
    <w:p w14:paraId="26AE93C9" w14:textId="77777777" w:rsidR="00BB183F" w:rsidRDefault="00BB183F" w:rsidP="00BB183F">
      <w:pPr>
        <w:widowControl w:val="0"/>
        <w:tabs>
          <w:tab w:val="left" w:pos="1699"/>
        </w:tabs>
        <w:spacing w:line="360" w:lineRule="auto"/>
        <w:ind w:left="1417" w:hanging="1701"/>
        <w:jc w:val="both"/>
        <w:rPr>
          <w:rtl/>
        </w:rPr>
      </w:pPr>
      <w:r>
        <w:rPr>
          <w:rtl/>
        </w:rPr>
        <w:t xml:space="preserve">                                     וזה לא כתוב כאן. אז אתה לא יכול להציג מסמך, אתה לא יכול לבקש </w:t>
      </w:r>
    </w:p>
    <w:p w14:paraId="126843D7" w14:textId="77777777" w:rsidR="00BB183F" w:rsidRDefault="00BB183F" w:rsidP="00BB183F">
      <w:pPr>
        <w:widowControl w:val="0"/>
        <w:tabs>
          <w:tab w:val="left" w:pos="1699"/>
        </w:tabs>
        <w:spacing w:line="360" w:lineRule="auto"/>
        <w:ind w:left="1417" w:hanging="1701"/>
        <w:jc w:val="both"/>
        <w:rPr>
          <w:rtl/>
        </w:rPr>
      </w:pPr>
      <w:r>
        <w:rPr>
          <w:rtl/>
        </w:rPr>
        <w:t xml:space="preserve">                                     להציג מסמך שלכאורה</w:t>
      </w:r>
      <w:bookmarkStart w:id="79" w:name="_ETM_Q_2354985"/>
      <w:bookmarkEnd w:id="79"/>
      <w:r>
        <w:rPr>
          <w:rtl/>
        </w:rPr>
        <w:t xml:space="preserve"> עולה בו נתון מסוים שלא עולה בו, ואחר כך להציג</w:t>
      </w:r>
      <w:bookmarkStart w:id="80" w:name="_ETM_Q_2357245"/>
      <w:bookmarkEnd w:id="80"/>
      <w:r>
        <w:rPr>
          <w:rtl/>
        </w:rPr>
        <w:t xml:space="preserve"> </w:t>
      </w:r>
    </w:p>
    <w:p w14:paraId="44FF3CF6" w14:textId="77777777" w:rsidR="00BB183F" w:rsidRDefault="00BB183F" w:rsidP="00BB183F">
      <w:pPr>
        <w:widowControl w:val="0"/>
        <w:tabs>
          <w:tab w:val="left" w:pos="1699"/>
        </w:tabs>
        <w:spacing w:line="360" w:lineRule="auto"/>
        <w:ind w:left="1417" w:hanging="1701"/>
        <w:jc w:val="both"/>
        <w:rPr>
          <w:rtl/>
        </w:rPr>
      </w:pPr>
      <w:r>
        <w:rPr>
          <w:rtl/>
        </w:rPr>
        <w:t xml:space="preserve">                                     לעד שאלה כאילו לכאורה כתוב משהו במסמך שלא </w:t>
      </w:r>
      <w:bookmarkStart w:id="81" w:name="_ETM_Q_2361198"/>
      <w:bookmarkEnd w:id="81"/>
      <w:r>
        <w:rPr>
          <w:rtl/>
        </w:rPr>
        <w:t xml:space="preserve">כתוב. זה לא, </w:t>
      </w:r>
      <w:bookmarkStart w:id="82" w:name="_ETM_Q_2362346"/>
      <w:bookmarkEnd w:id="82"/>
    </w:p>
    <w:p w14:paraId="0ED28981" w14:textId="77777777" w:rsidR="00BB183F" w:rsidRDefault="00BB183F" w:rsidP="00BB183F">
      <w:pPr>
        <w:spacing w:line="360" w:lineRule="auto"/>
        <w:ind w:left="1417"/>
        <w:jc w:val="both"/>
        <w:rPr>
          <w:rFonts w:ascii="David" w:hAnsi="David"/>
          <w:noProof w:val="0"/>
          <w:rtl/>
        </w:rPr>
      </w:pPr>
      <w:r>
        <w:rPr>
          <w:b/>
          <w:bCs/>
          <w:rtl/>
        </w:rPr>
        <w:t xml:space="preserve">     עו"ד דומבר</w:t>
      </w:r>
      <w:r w:rsidR="00AD7CA5">
        <w:rPr>
          <w:rFonts w:hint="cs"/>
          <w:b/>
          <w:bCs/>
          <w:rtl/>
        </w:rPr>
        <w:t>ו</w:t>
      </w:r>
      <w:r>
        <w:rPr>
          <w:b/>
          <w:bCs/>
          <w:rtl/>
        </w:rPr>
        <w:t>ביץ':</w:t>
      </w:r>
      <w:r>
        <w:rPr>
          <w:rtl/>
        </w:rPr>
        <w:t xml:space="preserve"> אין בעיה. אני חוזר בי מהשאלה.</w:t>
      </w:r>
      <w:r>
        <w:rPr>
          <w:rFonts w:ascii="David" w:hAnsi="David"/>
          <w:noProof w:val="0"/>
          <w:rtl/>
        </w:rPr>
        <w:t xml:space="preserve">" </w:t>
      </w:r>
    </w:p>
    <w:p w14:paraId="3DF1CF10" w14:textId="77777777" w:rsidR="00BB183F" w:rsidRDefault="00BB183F" w:rsidP="00BB183F">
      <w:pPr>
        <w:spacing w:line="360" w:lineRule="auto"/>
        <w:jc w:val="both"/>
        <w:rPr>
          <w:rFonts w:ascii="David" w:hAnsi="David"/>
          <w:noProof w:val="0"/>
          <w:rtl/>
        </w:rPr>
      </w:pPr>
    </w:p>
    <w:p w14:paraId="00A1714F" w14:textId="77777777" w:rsidR="00BB183F" w:rsidRDefault="00BB183F" w:rsidP="00BB183F">
      <w:pPr>
        <w:pStyle w:val="ad"/>
        <w:numPr>
          <w:ilvl w:val="0"/>
          <w:numId w:val="1"/>
        </w:numPr>
        <w:spacing w:line="360" w:lineRule="auto"/>
        <w:jc w:val="both"/>
        <w:rPr>
          <w:rFonts w:ascii="David" w:hAnsi="David"/>
          <w:noProof w:val="0"/>
          <w:rtl/>
        </w:rPr>
      </w:pPr>
      <w:r>
        <w:rPr>
          <w:rFonts w:ascii="David" w:hAnsi="David"/>
          <w:noProof w:val="0"/>
          <w:rtl/>
        </w:rPr>
        <w:t xml:space="preserve">המערערים הוסיפו להראות כי הביטול מתייחס לאישור אחר, כאשר המשיב לא ידע לומר איזה מחלקי המבנה קשור לאיזה מהתוכניות שאושרו. כך נטען בתצהיר המשלים מטעם המערערים כי מדובר בביטול כתב אישור אחד מתוך שלושה וכי </w:t>
      </w:r>
      <w:proofErr w:type="spellStart"/>
      <w:r>
        <w:rPr>
          <w:rFonts w:ascii="David" w:hAnsi="David"/>
          <w:noProof w:val="0"/>
          <w:rtl/>
        </w:rPr>
        <w:t>התכניות</w:t>
      </w:r>
      <w:proofErr w:type="spellEnd"/>
      <w:r>
        <w:rPr>
          <w:rFonts w:ascii="David" w:hAnsi="David"/>
          <w:noProof w:val="0"/>
          <w:rtl/>
        </w:rPr>
        <w:t xml:space="preserve"> לא בוטלו (סעיף 6 לתצהיר). מנגד, בעדות העד מטעם המשיב נטען כי הביטול הינו ביחס לכלל התוכניות אך לא הוצגו הוכחות או מסמכים רלוונטיים לכך (ראו עמוד 113 לפרוטוקול, שורות 1-6). לצד כל האמור מצאתי כי בצדק טענו המערערים כי היה ביכולת המשיב לבסס טענתו באמצעות עדים מתאימים או הגשת </w:t>
      </w:r>
      <w:proofErr w:type="spellStart"/>
      <w:r>
        <w:rPr>
          <w:rFonts w:ascii="David" w:hAnsi="David"/>
          <w:noProof w:val="0"/>
          <w:rtl/>
        </w:rPr>
        <w:t>תכניות</w:t>
      </w:r>
      <w:proofErr w:type="spellEnd"/>
      <w:r>
        <w:rPr>
          <w:rFonts w:ascii="David" w:hAnsi="David"/>
          <w:noProof w:val="0"/>
          <w:rtl/>
        </w:rPr>
        <w:t xml:space="preserve"> עבודה, דברים שלא נעשו על ידו.</w:t>
      </w:r>
    </w:p>
    <w:p w14:paraId="4C8484AB" w14:textId="77777777" w:rsidR="00BB183F" w:rsidRDefault="00BB183F" w:rsidP="00BB183F">
      <w:pPr>
        <w:pStyle w:val="ad"/>
        <w:spacing w:line="360" w:lineRule="auto"/>
        <w:jc w:val="both"/>
        <w:rPr>
          <w:rFonts w:ascii="David" w:hAnsi="David"/>
          <w:noProof w:val="0"/>
          <w:rtl/>
        </w:rPr>
      </w:pPr>
    </w:p>
    <w:p w14:paraId="12E26AF8" w14:textId="77777777" w:rsidR="00BB183F" w:rsidRDefault="00BB704A" w:rsidP="00BB704A">
      <w:pPr>
        <w:pStyle w:val="ad"/>
        <w:numPr>
          <w:ilvl w:val="0"/>
          <w:numId w:val="1"/>
        </w:numPr>
        <w:spacing w:line="360" w:lineRule="auto"/>
        <w:jc w:val="both"/>
        <w:rPr>
          <w:rFonts w:ascii="David" w:hAnsi="David"/>
          <w:noProof w:val="0"/>
        </w:rPr>
      </w:pPr>
      <w:r>
        <w:rPr>
          <w:rFonts w:ascii="David" w:hAnsi="David"/>
          <w:noProof w:val="0"/>
          <w:rtl/>
        </w:rPr>
        <w:t xml:space="preserve"> </w:t>
      </w:r>
      <w:r>
        <w:rPr>
          <w:rFonts w:ascii="David" w:hAnsi="David" w:hint="cs"/>
          <w:noProof w:val="0"/>
          <w:rtl/>
        </w:rPr>
        <w:t xml:space="preserve">כאמור, </w:t>
      </w:r>
      <w:r w:rsidR="00BB183F">
        <w:rPr>
          <w:rFonts w:ascii="David" w:hAnsi="David"/>
          <w:noProof w:val="0"/>
          <w:rtl/>
        </w:rPr>
        <w:t>עצם השגת אישור לפי חוק העידוד לצורך השכרה ארוכת טווח, מלמדת כי נהג</w:t>
      </w:r>
      <w:r>
        <w:rPr>
          <w:rFonts w:ascii="David" w:hAnsi="David"/>
          <w:noProof w:val="0"/>
          <w:rtl/>
        </w:rPr>
        <w:t>ו המערערים במקרקעין כרכוש קבוע</w:t>
      </w:r>
      <w:r>
        <w:rPr>
          <w:rFonts w:ascii="David" w:hAnsi="David" w:hint="cs"/>
          <w:noProof w:val="0"/>
          <w:rtl/>
        </w:rPr>
        <w:t xml:space="preserve"> והם אף דיווחו על כך לרשות </w:t>
      </w:r>
      <w:proofErr w:type="spellStart"/>
      <w:r>
        <w:rPr>
          <w:rFonts w:ascii="David" w:hAnsi="David" w:hint="cs"/>
          <w:noProof w:val="0"/>
          <w:rtl/>
        </w:rPr>
        <w:t>המסים</w:t>
      </w:r>
      <w:proofErr w:type="spellEnd"/>
      <w:r>
        <w:rPr>
          <w:rFonts w:ascii="David" w:hAnsi="David" w:hint="cs"/>
          <w:noProof w:val="0"/>
          <w:rtl/>
        </w:rPr>
        <w:t xml:space="preserve"> ולא פעלו בהסתר.</w:t>
      </w:r>
    </w:p>
    <w:p w14:paraId="132E58AE" w14:textId="77777777" w:rsidR="00BB183F" w:rsidRDefault="00BB183F" w:rsidP="00BB183F">
      <w:pPr>
        <w:pStyle w:val="ad"/>
        <w:rPr>
          <w:rFonts w:ascii="David" w:hAnsi="David"/>
          <w:noProof w:val="0"/>
        </w:rPr>
      </w:pPr>
    </w:p>
    <w:p w14:paraId="740CC19B" w14:textId="77777777" w:rsidR="00BB183F" w:rsidRDefault="00BB183F" w:rsidP="00BB183F">
      <w:pPr>
        <w:spacing w:line="360" w:lineRule="auto"/>
        <w:jc w:val="both"/>
        <w:rPr>
          <w:rFonts w:ascii="Arial" w:hAnsi="Arial"/>
          <w:noProof w:val="0"/>
          <w:u w:val="single"/>
          <w:rtl/>
        </w:rPr>
      </w:pPr>
      <w:r>
        <w:rPr>
          <w:rFonts w:ascii="Arial" w:hAnsi="Arial"/>
          <w:noProof w:val="0"/>
          <w:u w:val="single"/>
          <w:rtl/>
        </w:rPr>
        <w:t>יתרון מיסויי לשותפות</w:t>
      </w:r>
    </w:p>
    <w:p w14:paraId="286C5291" w14:textId="77777777" w:rsidR="00857CE3" w:rsidRDefault="00BB183F" w:rsidP="00857CE3">
      <w:pPr>
        <w:pStyle w:val="ad"/>
        <w:numPr>
          <w:ilvl w:val="0"/>
          <w:numId w:val="1"/>
        </w:numPr>
        <w:spacing w:line="360" w:lineRule="auto"/>
        <w:jc w:val="both"/>
        <w:rPr>
          <w:rFonts w:ascii="David" w:hAnsi="David"/>
        </w:rPr>
      </w:pPr>
      <w:r>
        <w:rPr>
          <w:rFonts w:ascii="David" w:hAnsi="David"/>
          <w:rtl/>
        </w:rPr>
        <w:t xml:space="preserve">לטענת המשיב, </w:t>
      </w:r>
      <w:r>
        <w:rPr>
          <w:rFonts w:ascii="Arial" w:hAnsi="Arial"/>
          <w:noProof w:val="0"/>
          <w:rtl/>
        </w:rPr>
        <w:t>המערערים נהנו מיתרונות מיסויים וכלכליים לאורך השנים כתוצאה מסיווג הנכס כרכוש שוטף</w:t>
      </w:r>
      <w:r>
        <w:rPr>
          <w:rFonts w:ascii="David" w:hAnsi="David"/>
          <w:rtl/>
        </w:rPr>
        <w:t xml:space="preserve"> ועתה מנועים הם מלהציג את הנכס בשונה מהצהרותיהם. </w:t>
      </w:r>
      <w:r>
        <w:rPr>
          <w:rFonts w:ascii="Arial" w:hAnsi="Arial"/>
          <w:noProof w:val="0"/>
          <w:rtl/>
        </w:rPr>
        <w:t xml:space="preserve">לטענתו, </w:t>
      </w:r>
      <w:r>
        <w:rPr>
          <w:rFonts w:ascii="David" w:hAnsi="David"/>
          <w:rtl/>
        </w:rPr>
        <w:t>כך היה בשל אי יישום הוראות חוק מס הכנסה (תיאומים בשל אינפלציה), תשמ"ה-1985 (להלן: "</w:t>
      </w:r>
      <w:r>
        <w:rPr>
          <w:rFonts w:ascii="David" w:hAnsi="David"/>
          <w:b/>
          <w:bCs/>
          <w:rtl/>
        </w:rPr>
        <w:t>חוק התיאומים</w:t>
      </w:r>
      <w:r>
        <w:rPr>
          <w:rFonts w:ascii="David" w:hAnsi="David"/>
          <w:rtl/>
        </w:rPr>
        <w:t>") וכן, מאחר והחל ממועד הרכישה ועד לשנת 1</w:t>
      </w:r>
      <w:r w:rsidR="00BB704A">
        <w:rPr>
          <w:rFonts w:ascii="David" w:hAnsi="David"/>
          <w:rtl/>
        </w:rPr>
        <w:t>997 דיווחו המערערים למנהל מ</w:t>
      </w:r>
      <w:r w:rsidR="00BB704A">
        <w:rPr>
          <w:rFonts w:ascii="David" w:hAnsi="David" w:hint="cs"/>
          <w:rtl/>
        </w:rPr>
        <w:t xml:space="preserve">יסוי מקרקעין </w:t>
      </w:r>
      <w:r>
        <w:rPr>
          <w:rFonts w:ascii="David" w:hAnsi="David"/>
          <w:rtl/>
        </w:rPr>
        <w:t xml:space="preserve">על המגרש כמלאי עסקי לצורך הפחתה של מס הרכוש (ראו סעיפים </w:t>
      </w:r>
      <w:r>
        <w:rPr>
          <w:rFonts w:ascii="David" w:hAnsi="David"/>
          <w:rtl/>
        </w:rPr>
        <w:lastRenderedPageBreak/>
        <w:t>8-9 להודעה המפרשת).</w:t>
      </w:r>
      <w:r w:rsidR="00857CE3">
        <w:rPr>
          <w:rFonts w:ascii="David" w:hAnsi="David" w:hint="cs"/>
          <w:rtl/>
        </w:rPr>
        <w:t xml:space="preserve"> </w:t>
      </w:r>
      <w:r w:rsidRPr="00857CE3">
        <w:rPr>
          <w:rFonts w:ascii="Arial" w:hAnsi="Arial"/>
          <w:noProof w:val="0"/>
          <w:rtl/>
        </w:rPr>
        <w:t xml:space="preserve">לאחר בחינת כלל הראיות והעובדות כפי שהוצגו בפניי, מצאתי כי אין ממש בטענה זו של המשיב. </w:t>
      </w:r>
      <w:r w:rsidR="0090091B">
        <w:rPr>
          <w:rFonts w:ascii="David" w:hAnsi="David" w:hint="cs"/>
          <w:rtl/>
        </w:rPr>
        <w:t xml:space="preserve"> </w:t>
      </w:r>
    </w:p>
    <w:p w14:paraId="5EA856DF" w14:textId="77777777" w:rsidR="00857CE3" w:rsidRDefault="00857CE3" w:rsidP="00857CE3">
      <w:pPr>
        <w:pStyle w:val="ad"/>
        <w:spacing w:line="360" w:lineRule="auto"/>
        <w:jc w:val="both"/>
        <w:rPr>
          <w:rFonts w:ascii="David" w:hAnsi="David"/>
        </w:rPr>
      </w:pPr>
    </w:p>
    <w:p w14:paraId="7B198CD0" w14:textId="77777777" w:rsidR="00BB183F" w:rsidRDefault="00BB183F" w:rsidP="007F1A38">
      <w:pPr>
        <w:pStyle w:val="ad"/>
        <w:numPr>
          <w:ilvl w:val="0"/>
          <w:numId w:val="1"/>
        </w:numPr>
        <w:spacing w:line="360" w:lineRule="auto"/>
        <w:jc w:val="both"/>
        <w:rPr>
          <w:rFonts w:ascii="David" w:hAnsi="David"/>
        </w:rPr>
      </w:pPr>
      <w:r w:rsidRPr="00857CE3">
        <w:rPr>
          <w:rFonts w:ascii="David" w:hAnsi="David"/>
          <w:rtl/>
        </w:rPr>
        <w:t xml:space="preserve">הדיווח על הפרויקט כמלאי ולא כרכוש קבוע, לא חסך למערערים תשלומי מס דה-פקטו ובכל אופן, לא כאלו שעולים לכדי "סכומים נכבדים" כטענת המשיב. </w:t>
      </w:r>
      <w:r w:rsidRPr="007F1A38">
        <w:rPr>
          <w:rFonts w:ascii="David" w:hAnsi="David"/>
          <w:rtl/>
        </w:rPr>
        <w:t xml:space="preserve">במהלך השנים 1987-1996 הקרקע לא הייתה ניתנת לשימוש מידי בשל היותה ב'מושע' בשיתוף עם משפחת בנית. </w:t>
      </w:r>
      <w:r w:rsidRPr="007F1A38">
        <w:rPr>
          <w:rFonts w:ascii="David" w:hAnsi="David"/>
          <w:noProof w:val="0"/>
          <w:rtl/>
        </w:rPr>
        <w:t xml:space="preserve">כמו כן, השותפות פעלה כנדרש ושילמה עד לשנת 1997 מס רכוש לפי מלאי עסקי ומאז 1997 לאור חוק העידוד הייתה פטורה ממס רכוש. </w:t>
      </w:r>
      <w:r w:rsidRPr="007F1A38">
        <w:rPr>
          <w:rFonts w:ascii="David" w:hAnsi="David"/>
          <w:rtl/>
        </w:rPr>
        <w:t>בנוסף, עד לשנת 2011 השותפות לא ביקשה החזר תשומות מע"מ, והדבר גם מצביע על כך שלא ראו במקרקעין כמלאי עסקי.</w:t>
      </w:r>
      <w:r w:rsidRPr="007F1A38">
        <w:rPr>
          <w:rFonts w:ascii="David" w:hAnsi="David"/>
          <w:noProof w:val="0"/>
          <w:color w:val="FF0000"/>
          <w:rtl/>
        </w:rPr>
        <w:t xml:space="preserve"> </w:t>
      </w:r>
    </w:p>
    <w:p w14:paraId="1E3C05AB" w14:textId="77777777" w:rsidR="0017354B" w:rsidRPr="0017354B" w:rsidRDefault="0017354B" w:rsidP="0017354B">
      <w:pPr>
        <w:pStyle w:val="ad"/>
        <w:rPr>
          <w:rFonts w:ascii="David" w:hAnsi="David"/>
          <w:rtl/>
        </w:rPr>
      </w:pPr>
    </w:p>
    <w:p w14:paraId="7FB23F91" w14:textId="77777777" w:rsidR="000867FC" w:rsidRDefault="00A16433" w:rsidP="00BB704A">
      <w:pPr>
        <w:pStyle w:val="ad"/>
        <w:numPr>
          <w:ilvl w:val="0"/>
          <w:numId w:val="1"/>
        </w:numPr>
        <w:spacing w:line="360" w:lineRule="auto"/>
        <w:jc w:val="both"/>
        <w:rPr>
          <w:rFonts w:ascii="David" w:hAnsi="David"/>
        </w:rPr>
      </w:pPr>
      <w:r>
        <w:rPr>
          <w:rFonts w:hint="cs"/>
          <w:rtl/>
        </w:rPr>
        <w:t xml:space="preserve">מטרתו של חוק התיאומים היתה לנטרל את השפעת האינפלציה בחישוב ההכנסה החייבת של הנישום, כך שההכנסה החייבת שתתקבל לאחר ביצוע ההתאמות על-פי החוק תהיה בערכים ריאליים של סוף שנת המס. </w:t>
      </w:r>
      <w:r w:rsidR="0031017B">
        <w:rPr>
          <w:rFonts w:ascii="David" w:hAnsi="David" w:hint="cs"/>
          <w:rtl/>
        </w:rPr>
        <w:t xml:space="preserve">לגישת המשיב, </w:t>
      </w:r>
      <w:r w:rsidR="000B3627">
        <w:rPr>
          <w:rFonts w:ascii="David" w:hAnsi="David" w:hint="cs"/>
          <w:rtl/>
        </w:rPr>
        <w:t xml:space="preserve">בשל הצגת הפרויקט במאזן השותפות במהלך כ- 26 שנים רצופות תחת סעיף רכוש שוטף, השלכות חוק התיאומים על הכנסות המערערים, במהלך חלק ניכר משנים אלו, לא קיבלו ביטוי. </w:t>
      </w:r>
      <w:r w:rsidR="000867FC">
        <w:rPr>
          <w:rFonts w:ascii="David" w:hAnsi="David" w:hint="cs"/>
          <w:rtl/>
        </w:rPr>
        <w:t>יישום חוק התיאומים היה מגדיל את הכנסות המערערים בכל שנה ושנה בסכום השווה לכפולה של שיעור עליית המדד השנתית ביתרת הפרויקט במאזן לאותה השנה.</w:t>
      </w:r>
      <w:r w:rsidR="00BB704A">
        <w:rPr>
          <w:rFonts w:ascii="David" w:hAnsi="David" w:hint="cs"/>
          <w:rtl/>
        </w:rPr>
        <w:t xml:space="preserve"> </w:t>
      </w:r>
    </w:p>
    <w:p w14:paraId="743DA4B2" w14:textId="77777777" w:rsidR="000867FC" w:rsidRPr="000867FC" w:rsidRDefault="000867FC" w:rsidP="000867FC">
      <w:pPr>
        <w:pStyle w:val="ad"/>
        <w:rPr>
          <w:rFonts w:ascii="David" w:hAnsi="David"/>
          <w:rtl/>
        </w:rPr>
      </w:pPr>
    </w:p>
    <w:p w14:paraId="7BE426CA" w14:textId="77777777" w:rsidR="00392C40" w:rsidRPr="002E41DA" w:rsidRDefault="00953746" w:rsidP="002E41DA">
      <w:pPr>
        <w:pStyle w:val="ad"/>
        <w:numPr>
          <w:ilvl w:val="0"/>
          <w:numId w:val="1"/>
        </w:numPr>
        <w:spacing w:line="360" w:lineRule="auto"/>
        <w:jc w:val="both"/>
        <w:rPr>
          <w:rFonts w:ascii="David" w:hAnsi="David"/>
          <w:noProof w:val="0"/>
          <w:rtl/>
        </w:rPr>
      </w:pPr>
      <w:r w:rsidRPr="001F5730">
        <w:rPr>
          <w:rFonts w:ascii="David" w:hAnsi="David" w:hint="cs"/>
          <w:rtl/>
        </w:rPr>
        <w:t>אין מחלוקת בין הצדדים כי חוק התיאומים חל על רכוש קבוע</w:t>
      </w:r>
      <w:r w:rsidR="00CC7B66" w:rsidRPr="001F5730">
        <w:rPr>
          <w:rFonts w:ascii="David" w:hAnsi="David" w:hint="cs"/>
          <w:rtl/>
        </w:rPr>
        <w:t>. עיקר הפער נעוץ בשנים לפיהם בוצע החישוב על ידי המשיב אשר החיל את השנים 2008, שנה בה פג תוקף החוק; ואת השנים 1986-1997 בהם הקרקע הייתה במושע והיוותה מלאי עסקי</w:t>
      </w:r>
      <w:r w:rsidR="002E41DA">
        <w:rPr>
          <w:rFonts w:ascii="David" w:hAnsi="David" w:hint="cs"/>
          <w:rtl/>
        </w:rPr>
        <w:t xml:space="preserve"> ו</w:t>
      </w:r>
      <w:r w:rsidR="001F5730">
        <w:rPr>
          <w:rFonts w:ascii="David" w:hAnsi="David" w:hint="cs"/>
          <w:rtl/>
        </w:rPr>
        <w:t>פטורה מתוספת בשל אינפלצייה</w:t>
      </w:r>
      <w:r w:rsidR="00B973E7">
        <w:rPr>
          <w:rFonts w:ascii="David" w:hAnsi="David" w:hint="cs"/>
          <w:rtl/>
        </w:rPr>
        <w:t xml:space="preserve"> (ראו לעניין זה עמודים 105-105 לפרוטוקול, שורות 20-24 בהתאמה)</w:t>
      </w:r>
      <w:r w:rsidR="00CC7B66" w:rsidRPr="001F5730">
        <w:rPr>
          <w:rFonts w:ascii="David" w:hAnsi="David" w:hint="cs"/>
          <w:rtl/>
        </w:rPr>
        <w:t xml:space="preserve">. </w:t>
      </w:r>
      <w:r w:rsidR="001F5730">
        <w:rPr>
          <w:rFonts w:ascii="David" w:hAnsi="David" w:hint="cs"/>
          <w:rtl/>
        </w:rPr>
        <w:t>בהתאם, לא סיפק המשיב הוכחה כי בשנים אלו נהנו המערערים מאי תיאום לפי חוק התיאומים.</w:t>
      </w:r>
      <w:r w:rsidR="00392C40">
        <w:rPr>
          <w:rFonts w:ascii="David" w:hAnsi="David" w:hint="cs"/>
          <w:rtl/>
        </w:rPr>
        <w:t xml:space="preserve"> </w:t>
      </w:r>
      <w:r w:rsidR="001F5730" w:rsidRPr="00392C40">
        <w:rPr>
          <w:rFonts w:ascii="David" w:hAnsi="David" w:hint="cs"/>
          <w:noProof w:val="0"/>
          <w:rtl/>
        </w:rPr>
        <w:t xml:space="preserve">על </w:t>
      </w:r>
      <w:r w:rsidR="00392C40" w:rsidRPr="00392C40">
        <w:rPr>
          <w:rFonts w:ascii="David" w:hAnsi="David" w:hint="cs"/>
          <w:noProof w:val="0"/>
          <w:rtl/>
        </w:rPr>
        <w:t>כל פנים, החיסכו</w:t>
      </w:r>
      <w:r w:rsidR="00392C40" w:rsidRPr="00392C40">
        <w:rPr>
          <w:rFonts w:ascii="David" w:hAnsi="David" w:hint="eastAsia"/>
          <w:noProof w:val="0"/>
          <w:rtl/>
        </w:rPr>
        <w:t>ן</w:t>
      </w:r>
      <w:r w:rsidR="00392C40" w:rsidRPr="00392C40">
        <w:rPr>
          <w:rFonts w:ascii="David" w:hAnsi="David" w:hint="cs"/>
          <w:noProof w:val="0"/>
          <w:rtl/>
        </w:rPr>
        <w:t xml:space="preserve"> האמור איננו חיסכון במס, כי אם בתוספת הכנסה, </w:t>
      </w:r>
      <w:r w:rsidR="00BB704A">
        <w:rPr>
          <w:rFonts w:ascii="David" w:hAnsi="David" w:hint="cs"/>
          <w:noProof w:val="0"/>
          <w:rtl/>
        </w:rPr>
        <w:t>והמס הנגזר ממנו נראה כנמוך למדי (ראו לעניין זה את הפירוט בעמודים 10-11 בסיכומי המערערים).</w:t>
      </w:r>
    </w:p>
    <w:p w14:paraId="7AB10366" w14:textId="77777777" w:rsidR="00392C40" w:rsidRPr="00392C40" w:rsidRDefault="00392C40" w:rsidP="00392C40">
      <w:pPr>
        <w:pStyle w:val="ad"/>
        <w:spacing w:line="360" w:lineRule="auto"/>
        <w:jc w:val="both"/>
        <w:rPr>
          <w:rFonts w:ascii="David" w:hAnsi="David"/>
          <w:noProof w:val="0"/>
          <w:highlight w:val="yellow"/>
        </w:rPr>
      </w:pPr>
    </w:p>
    <w:p w14:paraId="73DC4F2C" w14:textId="77777777" w:rsidR="00BB183F" w:rsidRDefault="00BB183F" w:rsidP="00BB183F">
      <w:pPr>
        <w:pStyle w:val="ad"/>
        <w:numPr>
          <w:ilvl w:val="0"/>
          <w:numId w:val="1"/>
        </w:numPr>
        <w:spacing w:line="360" w:lineRule="auto"/>
        <w:jc w:val="both"/>
        <w:rPr>
          <w:rFonts w:ascii="Arial" w:hAnsi="Arial"/>
          <w:noProof w:val="0"/>
          <w:rtl/>
        </w:rPr>
      </w:pPr>
      <w:r>
        <w:rPr>
          <w:rFonts w:ascii="Arial" w:hAnsi="Arial"/>
          <w:noProof w:val="0"/>
          <w:rtl/>
        </w:rPr>
        <w:t>לאור הראיות וההסברים שניתנו מטעם המערערים,</w:t>
      </w:r>
      <w:r>
        <w:rPr>
          <w:color w:val="000000"/>
          <w:sz w:val="14"/>
          <w:szCs w:val="14"/>
          <w:shd w:val="clear" w:color="auto" w:fill="FFFFFF"/>
        </w:rPr>
        <w:t>  </w:t>
      </w:r>
      <w:r>
        <w:rPr>
          <w:rFonts w:ascii="David" w:hAnsi="David"/>
          <w:color w:val="000000"/>
          <w:shd w:val="clear" w:color="auto" w:fill="FFFFFF"/>
          <w:rtl/>
        </w:rPr>
        <w:t>ומשהתרשמתי מעדות המערער 2 כי הינה אמינה ואין בה משום התחמקות משאלות שנשאלו</w:t>
      </w:r>
      <w:r>
        <w:rPr>
          <w:rFonts w:ascii="Arial" w:hAnsi="Arial"/>
          <w:noProof w:val="0"/>
          <w:rtl/>
        </w:rPr>
        <w:t>; מתקבלת גרסת המערערים בנוגע לרישום מוטעה של הנכס כמלאי עסקי לאורך השנים. אף אם ניתן לראות ברישום משום ראיה לכאורה, הרי שלאור שאר הראיות שהוצגו בהליך, ניתן לקבוע בנקל כי ראיה לכאורה זו נסתרה.</w:t>
      </w:r>
      <w:r w:rsidR="007B1AE7">
        <w:rPr>
          <w:rFonts w:ascii="Arial" w:hAnsi="Arial" w:hint="cs"/>
          <w:noProof w:val="0"/>
          <w:rtl/>
        </w:rPr>
        <w:t xml:space="preserve"> אין להתעלם מן העובדה כי המערערים לא גרפו כל רווח מהנכס בשנת 1997, עקב שינוי הייעוד. לבד מן הטיעון המבוסס על רישום הנכס במאזן, אין בפי המשיב כל טיעון משכנע המצדיק ייחוס של הכנסה למערערים, על בסיס שינוי הייעוד ואין להתעלם מן העובדה כי המערערים מחזיקים בנכס 36 שנים, דבר המעיד יותר מכל על היות הנכס רכוש קבוע, כפי שאף מעידים</w:t>
      </w:r>
      <w:r w:rsidR="00981534">
        <w:rPr>
          <w:rFonts w:ascii="Arial" w:hAnsi="Arial" w:hint="cs"/>
          <w:noProof w:val="0"/>
          <w:rtl/>
        </w:rPr>
        <w:t xml:space="preserve"> על כך האינדיקציות שפורטו לעיל בפסקה 31.</w:t>
      </w:r>
    </w:p>
    <w:p w14:paraId="65D63335" w14:textId="77777777" w:rsidR="00BB183F" w:rsidRDefault="00BB183F" w:rsidP="00BB183F">
      <w:pPr>
        <w:spacing w:line="360" w:lineRule="auto"/>
        <w:jc w:val="both"/>
        <w:rPr>
          <w:rFonts w:ascii="Arial" w:hAnsi="Arial"/>
          <w:noProof w:val="0"/>
        </w:rPr>
      </w:pPr>
    </w:p>
    <w:p w14:paraId="65776B91" w14:textId="77777777" w:rsidR="00BB183F" w:rsidRDefault="00BB183F" w:rsidP="00BB183F">
      <w:pPr>
        <w:pStyle w:val="ad"/>
        <w:numPr>
          <w:ilvl w:val="0"/>
          <w:numId w:val="1"/>
        </w:numPr>
        <w:spacing w:line="360" w:lineRule="auto"/>
        <w:jc w:val="both"/>
        <w:rPr>
          <w:rFonts w:ascii="Arial" w:hAnsi="Arial"/>
          <w:noProof w:val="0"/>
          <w:rtl/>
        </w:rPr>
      </w:pPr>
      <w:r>
        <w:rPr>
          <w:rFonts w:ascii="Arial" w:hAnsi="Arial"/>
          <w:noProof w:val="0"/>
          <w:rtl/>
        </w:rPr>
        <w:lastRenderedPageBreak/>
        <w:t xml:space="preserve">משנשמטה הקרקע תחת טענות המשיב, התייתר הצורך לדון בשווי הכולל של הנכס, ובמחלוקות שבין הצדדים על אופן החישוב הראוי של השומה. </w:t>
      </w:r>
      <w:r w:rsidR="00981534">
        <w:rPr>
          <w:rFonts w:ascii="Arial" w:hAnsi="Arial" w:hint="cs"/>
          <w:noProof w:val="0"/>
          <w:rtl/>
        </w:rPr>
        <w:t>מעבר לנדרש, אפשר לציין כי המשיב קבע תחילה כי שווי הנכס הינו 71 מיליון ₪ וכי משווי זה יש לגזור את ההכנסה שצמחה למערערים, אך לאחר מכן, שינה את עמדתו וטען לשווי של 41 מיליון ₪, על בסיסו חישב את ההכנסה ואת סכומי המס בהם חייב את המערערים, מבלי ש</w:t>
      </w:r>
      <w:r w:rsidR="00DD1523">
        <w:rPr>
          <w:rFonts w:ascii="Arial" w:hAnsi="Arial" w:hint="cs"/>
          <w:noProof w:val="0"/>
          <w:rtl/>
        </w:rPr>
        <w:t>ניתנו הסברים משכנעים להפחתה חריגה מסוג זה.</w:t>
      </w:r>
    </w:p>
    <w:p w14:paraId="3166886C" w14:textId="77777777" w:rsidR="00BB183F" w:rsidRDefault="00BB183F" w:rsidP="00BB183F">
      <w:pPr>
        <w:pStyle w:val="ad"/>
        <w:rPr>
          <w:rFonts w:ascii="Arial" w:hAnsi="Arial"/>
          <w:noProof w:val="0"/>
        </w:rPr>
      </w:pPr>
    </w:p>
    <w:p w14:paraId="458C5C8B" w14:textId="77777777" w:rsidR="00BB183F" w:rsidRDefault="00BB183F" w:rsidP="00BB183F">
      <w:pPr>
        <w:shd w:val="clear" w:color="auto" w:fill="FFFFFF"/>
        <w:spacing w:after="16" w:line="360" w:lineRule="auto"/>
        <w:jc w:val="both"/>
        <w:rPr>
          <w:rFonts w:ascii="David" w:hAnsi="David"/>
          <w:noProof w:val="0"/>
          <w:color w:val="000000"/>
          <w:rtl/>
        </w:rPr>
      </w:pPr>
      <w:r>
        <w:rPr>
          <w:rFonts w:ascii="David" w:hAnsi="David"/>
          <w:noProof w:val="0"/>
          <w:color w:val="000000"/>
          <w:u w:val="single"/>
          <w:rtl/>
        </w:rPr>
        <w:t>קנס הגירעון</w:t>
      </w:r>
    </w:p>
    <w:tbl>
      <w:tblPr>
        <w:tblW w:w="6" w:type="dxa"/>
        <w:tblCellMar>
          <w:left w:w="0" w:type="dxa"/>
          <w:right w:w="0" w:type="dxa"/>
        </w:tblCellMar>
        <w:tblLook w:val="04A0" w:firstRow="1" w:lastRow="0" w:firstColumn="1" w:lastColumn="0" w:noHBand="0" w:noVBand="1"/>
      </w:tblPr>
      <w:tblGrid>
        <w:gridCol w:w="6"/>
      </w:tblGrid>
      <w:tr w:rsidR="00BB183F" w14:paraId="556405C0" w14:textId="77777777" w:rsidTr="00BB183F">
        <w:tc>
          <w:tcPr>
            <w:tcW w:w="0" w:type="auto"/>
            <w:vAlign w:val="center"/>
            <w:hideMark/>
          </w:tcPr>
          <w:p w14:paraId="34C71B03" w14:textId="77777777" w:rsidR="00BB183F" w:rsidRDefault="00BB183F">
            <w:pPr>
              <w:rPr>
                <w:rFonts w:ascii="David" w:hAnsi="David"/>
                <w:noProof w:val="0"/>
                <w:color w:val="000000"/>
                <w:rtl/>
              </w:rPr>
            </w:pPr>
          </w:p>
        </w:tc>
      </w:tr>
    </w:tbl>
    <w:p w14:paraId="793D7169" w14:textId="77777777" w:rsidR="00BB183F" w:rsidRDefault="00BB183F" w:rsidP="00AD7CA5">
      <w:pPr>
        <w:pStyle w:val="NormalWeb"/>
        <w:numPr>
          <w:ilvl w:val="0"/>
          <w:numId w:val="1"/>
        </w:numPr>
        <w:shd w:val="clear" w:color="auto" w:fill="FFFFFF"/>
        <w:bidi/>
        <w:spacing w:before="0" w:beforeAutospacing="0" w:after="360" w:afterAutospacing="0" w:line="360" w:lineRule="auto"/>
        <w:jc w:val="both"/>
        <w:rPr>
          <w:rFonts w:ascii="David" w:hAnsi="David" w:cs="David"/>
          <w:color w:val="222222"/>
        </w:rPr>
      </w:pPr>
      <w:r>
        <w:rPr>
          <w:rFonts w:ascii="David" w:hAnsi="David" w:cs="David"/>
          <w:color w:val="222222"/>
          <w:rtl/>
        </w:rPr>
        <w:t xml:space="preserve"> במסגרת השומה </w:t>
      </w:r>
      <w:r w:rsidR="00AD7CA5">
        <w:rPr>
          <w:rFonts w:ascii="David" w:hAnsi="David" w:cs="David" w:hint="cs"/>
          <w:color w:val="222222"/>
          <w:rtl/>
        </w:rPr>
        <w:t xml:space="preserve">חייב </w:t>
      </w:r>
      <w:r>
        <w:rPr>
          <w:rFonts w:ascii="David" w:hAnsi="David" w:cs="David"/>
          <w:color w:val="222222"/>
          <w:rtl/>
        </w:rPr>
        <w:t xml:space="preserve">המשיב </w:t>
      </w:r>
      <w:r w:rsidR="00AD7CA5">
        <w:rPr>
          <w:rFonts w:ascii="David" w:hAnsi="David" w:cs="David" w:hint="cs"/>
          <w:color w:val="222222"/>
          <w:rtl/>
        </w:rPr>
        <w:t>את המערערים ב</w:t>
      </w:r>
      <w:r>
        <w:rPr>
          <w:rFonts w:ascii="David" w:hAnsi="David" w:cs="David"/>
          <w:color w:val="222222"/>
          <w:rtl/>
        </w:rPr>
        <w:t>קנס גירעון בגין רשלנותם בהגשת הדו"ח לשנת 2013. בנוסף, לאורך ההליך העלה המשיב טענות שונות לפיהן כלל התנהלות המערערים לגבי הדוחות והדיווחים לאורך השנים שהחזיקו בפרויקט, הייתה התנהלות רשלנית.</w:t>
      </w:r>
    </w:p>
    <w:p w14:paraId="4534C11B" w14:textId="77777777" w:rsidR="00BB183F" w:rsidRDefault="00BB183F" w:rsidP="00BB183F">
      <w:pPr>
        <w:pStyle w:val="NormalWeb"/>
        <w:numPr>
          <w:ilvl w:val="0"/>
          <w:numId w:val="1"/>
        </w:numPr>
        <w:shd w:val="clear" w:color="auto" w:fill="FFFFFF"/>
        <w:bidi/>
        <w:spacing w:before="0" w:beforeAutospacing="0" w:after="360" w:afterAutospacing="0" w:line="360" w:lineRule="auto"/>
        <w:jc w:val="both"/>
        <w:rPr>
          <w:rFonts w:ascii="David" w:hAnsi="David" w:cs="David"/>
          <w:color w:val="222222"/>
        </w:rPr>
      </w:pPr>
      <w:hyperlink r:id="rId12" w:tgtFrame="_blank" w:history="1">
        <w:r>
          <w:rPr>
            <w:rStyle w:val="Hyperlink"/>
            <w:rFonts w:ascii="David" w:hAnsi="David" w:cs="David"/>
            <w:rtl/>
          </w:rPr>
          <w:t>סעיף 191</w:t>
        </w:r>
      </w:hyperlink>
      <w:r>
        <w:rPr>
          <w:rFonts w:ascii="David" w:hAnsi="David" w:cs="David"/>
          <w:rtl/>
        </w:rPr>
        <w:t> ל</w:t>
      </w:r>
      <w:r>
        <w:rPr>
          <w:rFonts w:ascii="David" w:hAnsi="David" w:cs="David"/>
          <w:color w:val="222222"/>
          <w:rtl/>
        </w:rPr>
        <w:t>פקודה קובע כדלקמן</w:t>
      </w:r>
      <w:r>
        <w:rPr>
          <w:rFonts w:ascii="David" w:hAnsi="David"/>
          <w:color w:val="222222"/>
          <w:rtl/>
          <w:lang w:bidi="ar-SA"/>
        </w:rPr>
        <w:t>:</w:t>
      </w:r>
    </w:p>
    <w:p w14:paraId="13E0FB4F" w14:textId="77777777" w:rsidR="00BB183F" w:rsidRDefault="00BB183F" w:rsidP="00BB183F">
      <w:pPr>
        <w:pStyle w:val="NormalWeb"/>
        <w:shd w:val="clear" w:color="auto" w:fill="FFFFFF"/>
        <w:bidi/>
        <w:spacing w:before="0" w:beforeAutospacing="0" w:after="0" w:afterAutospacing="0" w:line="360" w:lineRule="auto"/>
        <w:ind w:left="1417"/>
        <w:jc w:val="both"/>
        <w:rPr>
          <w:rFonts w:ascii="David" w:hAnsi="David" w:cs="David"/>
          <w:color w:val="222222"/>
        </w:rPr>
      </w:pPr>
      <w:r>
        <w:rPr>
          <w:rFonts w:ascii="David" w:hAnsi="David" w:cs="David"/>
          <w:b/>
          <w:bCs/>
          <w:color w:val="222222"/>
          <w:rtl/>
        </w:rPr>
        <w:t xml:space="preserve">"(א) בסעיף זה, 'גרעון' – הסכום שבו עודף המס שנישום חייב בו על המס שהוא חייב על פי הדו"ח שלו לפי סעיף 131, או סכום המס שנקבע לפי סעיף 145(ב) אם לא הגיש דו"ח כאמור, </w:t>
      </w:r>
      <w:proofErr w:type="spellStart"/>
      <w:r>
        <w:rPr>
          <w:rFonts w:ascii="David" w:hAnsi="David" w:cs="David"/>
          <w:b/>
          <w:bCs/>
          <w:color w:val="222222"/>
          <w:rtl/>
        </w:rPr>
        <w:t>הכל</w:t>
      </w:r>
      <w:proofErr w:type="spellEnd"/>
      <w:r>
        <w:rPr>
          <w:rFonts w:ascii="David" w:hAnsi="David" w:cs="David"/>
          <w:b/>
          <w:bCs/>
          <w:color w:val="222222"/>
          <w:rtl/>
        </w:rPr>
        <w:t xml:space="preserve"> לפי העניין.</w:t>
      </w:r>
    </w:p>
    <w:p w14:paraId="3915B8A7" w14:textId="77777777" w:rsidR="00BB183F" w:rsidRDefault="00BB183F" w:rsidP="00BB183F">
      <w:pPr>
        <w:pStyle w:val="NormalWeb"/>
        <w:shd w:val="clear" w:color="auto" w:fill="FFFFFF"/>
        <w:bidi/>
        <w:spacing w:before="0" w:beforeAutospacing="0" w:after="0" w:afterAutospacing="0" w:line="360" w:lineRule="auto"/>
        <w:ind w:left="1417"/>
        <w:jc w:val="both"/>
        <w:rPr>
          <w:rFonts w:ascii="David" w:hAnsi="David" w:cs="David"/>
          <w:color w:val="222222"/>
          <w:rtl/>
        </w:rPr>
      </w:pPr>
    </w:p>
    <w:p w14:paraId="1159A5EE" w14:textId="77777777" w:rsidR="00BB183F" w:rsidRDefault="00BB183F" w:rsidP="00BB183F">
      <w:pPr>
        <w:pStyle w:val="NormalWeb"/>
        <w:shd w:val="clear" w:color="auto" w:fill="FFFFFF"/>
        <w:bidi/>
        <w:spacing w:before="0" w:beforeAutospacing="0" w:after="0" w:afterAutospacing="0" w:line="360" w:lineRule="auto"/>
        <w:ind w:left="1417"/>
        <w:jc w:val="both"/>
        <w:rPr>
          <w:rFonts w:ascii="David" w:hAnsi="David" w:cs="David"/>
          <w:color w:val="222222"/>
          <w:rtl/>
        </w:rPr>
      </w:pPr>
      <w:r>
        <w:rPr>
          <w:rFonts w:ascii="David" w:hAnsi="David" w:cs="David"/>
          <w:b/>
          <w:bCs/>
          <w:color w:val="222222"/>
          <w:rtl/>
        </w:rPr>
        <w:t>(ב) נישום שלגביו נקבע גרעון העולה על 50% מהמס שהוא חייב בו ולא הוכיח להנחת דעתו של פקיד השומה שלא התרשל בעריכת הדו"ח שמסר או באי מסירת דו"ח, יהא חייב בקנס בשיעור של 15% מסכום הגרעון".</w:t>
      </w:r>
    </w:p>
    <w:p w14:paraId="373F44F9" w14:textId="77777777" w:rsidR="00BB183F" w:rsidRDefault="00BB183F" w:rsidP="00BB183F">
      <w:pPr>
        <w:pStyle w:val="NormalWeb"/>
        <w:shd w:val="clear" w:color="auto" w:fill="FFFFFF"/>
        <w:bidi/>
        <w:spacing w:before="0" w:beforeAutospacing="0" w:after="0" w:afterAutospacing="0" w:line="360" w:lineRule="auto"/>
        <w:ind w:left="1417" w:right="1134"/>
        <w:jc w:val="both"/>
        <w:rPr>
          <w:rFonts w:ascii="David" w:hAnsi="David" w:cs="David"/>
          <w:color w:val="222222"/>
          <w:rtl/>
        </w:rPr>
      </w:pPr>
    </w:p>
    <w:p w14:paraId="1145D010" w14:textId="77777777" w:rsidR="00BB183F" w:rsidRDefault="00BB183F" w:rsidP="00BB183F">
      <w:pPr>
        <w:pStyle w:val="ad"/>
        <w:numPr>
          <w:ilvl w:val="0"/>
          <w:numId w:val="1"/>
        </w:numPr>
        <w:spacing w:line="360" w:lineRule="auto"/>
        <w:jc w:val="both"/>
        <w:rPr>
          <w:rFonts w:ascii="Arial" w:hAnsi="Arial" w:cs="Arial"/>
          <w:rtl/>
        </w:rPr>
      </w:pPr>
      <w:r>
        <w:rPr>
          <w:rFonts w:ascii="David" w:hAnsi="David"/>
          <w:rtl/>
        </w:rPr>
        <w:t>קנס גירעון הוא קנס שניתן להטיל על נישום כשקיים גירעון של למעלה מ – 50% בין סכום המס שבו הוא חויב לפי הדו"ח העצמי שהוגש מטעמו ובין המס שפקיד השומה קבע שעל הנישום לשלם. התכלית העומדת ביסוד הסמכות לחייב את הנישום בקנס גירעון היא הרתעת נישומים מפני הגשת דיווחים שאינם נכונים ועל מנת שפקיד השומה יוכל להסתמך על מנגנון הדיווח העצמי (</w:t>
      </w:r>
      <w:hyperlink r:id="rId13" w:tgtFrame="_blank" w:history="1">
        <w:r>
          <w:rPr>
            <w:rStyle w:val="Hyperlink"/>
            <w:rFonts w:ascii="David" w:hAnsi="David"/>
            <w:rtl/>
          </w:rPr>
          <w:t>ע"א 3454/21</w:t>
        </w:r>
      </w:hyperlink>
      <w:r>
        <w:rPr>
          <w:rFonts w:ascii="David" w:hAnsi="David"/>
          <w:rtl/>
        </w:rPr>
        <w:t> </w:t>
      </w:r>
      <w:r>
        <w:rPr>
          <w:rFonts w:ascii="David" w:hAnsi="David"/>
          <w:b/>
          <w:bCs/>
          <w:rtl/>
        </w:rPr>
        <w:t>יינות ביתן בע"מ נ' פקיד שומה אשקלון</w:t>
      </w:r>
      <w:r>
        <w:rPr>
          <w:rFonts w:ascii="David" w:hAnsi="David"/>
          <w:rtl/>
        </w:rPr>
        <w:t xml:space="preserve"> (12.7.23) פסקה 16 (להלן: "</w:t>
      </w:r>
      <w:r>
        <w:rPr>
          <w:rFonts w:ascii="David" w:hAnsi="David"/>
          <w:b/>
          <w:bCs/>
          <w:rtl/>
        </w:rPr>
        <w:t>עניין יינות ביתן</w:t>
      </w:r>
      <w:r>
        <w:rPr>
          <w:rFonts w:ascii="David" w:hAnsi="David"/>
          <w:rtl/>
        </w:rPr>
        <w:t>").</w:t>
      </w:r>
    </w:p>
    <w:p w14:paraId="3E4BB3DB" w14:textId="77777777" w:rsidR="00BB183F" w:rsidRDefault="00BB183F" w:rsidP="00BB183F">
      <w:pPr>
        <w:pStyle w:val="ad"/>
        <w:spacing w:line="360" w:lineRule="auto"/>
        <w:jc w:val="both"/>
        <w:rPr>
          <w:rFonts w:ascii="Arial" w:hAnsi="Arial" w:cs="Arial"/>
        </w:rPr>
      </w:pPr>
    </w:p>
    <w:p w14:paraId="793F9B51" w14:textId="77777777" w:rsidR="00BB183F" w:rsidRDefault="00BB183F" w:rsidP="00BB183F">
      <w:pPr>
        <w:pStyle w:val="NormalWeb"/>
        <w:numPr>
          <w:ilvl w:val="0"/>
          <w:numId w:val="1"/>
        </w:numPr>
        <w:shd w:val="clear" w:color="auto" w:fill="FFFFFF"/>
        <w:bidi/>
        <w:spacing w:before="0" w:beforeAutospacing="0" w:after="360" w:afterAutospacing="0" w:line="360" w:lineRule="auto"/>
        <w:jc w:val="both"/>
        <w:rPr>
          <w:rFonts w:ascii="David" w:hAnsi="David" w:cs="David"/>
          <w:color w:val="222222"/>
        </w:rPr>
      </w:pPr>
      <w:r>
        <w:rPr>
          <w:rFonts w:ascii="David" w:hAnsi="David" w:cs="David"/>
          <w:color w:val="222222"/>
          <w:rtl/>
        </w:rPr>
        <w:t>לגבי יסוד ההתרשלות ראוי להזכיר את שנאמר ב</w:t>
      </w:r>
      <w:hyperlink r:id="rId14" w:tgtFrame="_blank" w:history="1">
        <w:r>
          <w:rPr>
            <w:rStyle w:val="Hyperlink"/>
            <w:rFonts w:ascii="David" w:hAnsi="David" w:cs="David"/>
            <w:rtl/>
          </w:rPr>
          <w:t>ע"א 1134/11</w:t>
        </w:r>
      </w:hyperlink>
      <w:r>
        <w:rPr>
          <w:rFonts w:ascii="David" w:hAnsi="David"/>
          <w:color w:val="222222"/>
          <w:rtl/>
          <w:lang w:bidi="ar-SA"/>
        </w:rPr>
        <w:t> </w:t>
      </w:r>
      <w:r>
        <w:rPr>
          <w:rFonts w:ascii="David" w:hAnsi="David" w:cs="David"/>
          <w:b/>
          <w:bCs/>
          <w:color w:val="222222"/>
          <w:rtl/>
        </w:rPr>
        <w:t>ר</w:t>
      </w:r>
      <w:r>
        <w:rPr>
          <w:rFonts w:ascii="David" w:hAnsi="David"/>
          <w:b/>
          <w:bCs/>
          <w:color w:val="222222"/>
          <w:rtl/>
          <w:lang w:bidi="ar-SA"/>
        </w:rPr>
        <w:t>.</w:t>
      </w:r>
      <w:r>
        <w:rPr>
          <w:rFonts w:ascii="David" w:hAnsi="David" w:cs="David"/>
          <w:b/>
          <w:bCs/>
          <w:color w:val="222222"/>
          <w:rtl/>
        </w:rPr>
        <w:t>מ</w:t>
      </w:r>
      <w:r>
        <w:rPr>
          <w:rFonts w:ascii="David" w:hAnsi="David"/>
          <w:b/>
          <w:bCs/>
          <w:color w:val="222222"/>
          <w:rtl/>
          <w:lang w:bidi="ar-SA"/>
        </w:rPr>
        <w:t>. </w:t>
      </w:r>
      <w:r>
        <w:rPr>
          <w:rFonts w:ascii="David" w:hAnsi="David" w:cs="David"/>
          <w:b/>
          <w:bCs/>
          <w:color w:val="222222"/>
          <w:rtl/>
        </w:rPr>
        <w:t>שביט מבנים חברה לבניין השקעות ופיתוח נ</w:t>
      </w:r>
      <w:r>
        <w:rPr>
          <w:rFonts w:ascii="David" w:hAnsi="David"/>
          <w:b/>
          <w:bCs/>
          <w:color w:val="222222"/>
          <w:rtl/>
          <w:lang w:bidi="ar-SA"/>
        </w:rPr>
        <w:t>' </w:t>
      </w:r>
      <w:r>
        <w:rPr>
          <w:rFonts w:ascii="David" w:hAnsi="David" w:cs="David"/>
          <w:b/>
          <w:bCs/>
          <w:color w:val="222222"/>
          <w:rtl/>
        </w:rPr>
        <w:t>פקיד שומה באר שבע </w:t>
      </w:r>
      <w:r>
        <w:rPr>
          <w:rFonts w:ascii="David" w:hAnsi="David"/>
          <w:color w:val="222222"/>
          <w:rtl/>
          <w:lang w:bidi="ar-SA"/>
        </w:rPr>
        <w:t>(12.5.13) (</w:t>
      </w:r>
      <w:r>
        <w:rPr>
          <w:rFonts w:ascii="David" w:hAnsi="David" w:cs="David"/>
          <w:color w:val="222222"/>
          <w:rtl/>
        </w:rPr>
        <w:t>פסקה </w:t>
      </w:r>
      <w:r>
        <w:rPr>
          <w:rFonts w:ascii="David" w:hAnsi="David"/>
          <w:color w:val="222222"/>
          <w:rtl/>
          <w:lang w:bidi="ar-SA"/>
        </w:rPr>
        <w:t>31):</w:t>
      </w:r>
    </w:p>
    <w:p w14:paraId="18366C90" w14:textId="77777777" w:rsidR="00BB183F" w:rsidRDefault="00BB183F" w:rsidP="00BB183F">
      <w:pPr>
        <w:pStyle w:val="NormalWeb"/>
        <w:shd w:val="clear" w:color="auto" w:fill="FFFFFF"/>
        <w:bidi/>
        <w:spacing w:before="0" w:beforeAutospacing="0" w:after="0" w:afterAutospacing="0" w:line="360" w:lineRule="auto"/>
        <w:ind w:left="1417"/>
        <w:jc w:val="both"/>
        <w:rPr>
          <w:rFonts w:ascii="David" w:hAnsi="David" w:cs="David"/>
          <w:color w:val="222222"/>
          <w:rtl/>
        </w:rPr>
      </w:pPr>
      <w:r>
        <w:rPr>
          <w:rFonts w:ascii="David" w:hAnsi="David" w:cs="David"/>
          <w:b/>
          <w:bCs/>
          <w:color w:val="222222"/>
          <w:rtl/>
        </w:rPr>
        <w:t xml:space="preserve">"השאלה מהי 'התרשלות' לצורך סעיף 191 טרם </w:t>
      </w:r>
      <w:proofErr w:type="spellStart"/>
      <w:r>
        <w:rPr>
          <w:rFonts w:ascii="David" w:hAnsi="David" w:cs="David"/>
          <w:b/>
          <w:bCs/>
          <w:color w:val="222222"/>
          <w:rtl/>
        </w:rPr>
        <w:t>נתלבנה</w:t>
      </w:r>
      <w:proofErr w:type="spellEnd"/>
      <w:r>
        <w:rPr>
          <w:rFonts w:ascii="David" w:hAnsi="David" w:cs="David"/>
          <w:b/>
          <w:bCs/>
          <w:color w:val="222222"/>
          <w:rtl/>
        </w:rPr>
        <w:t xml:space="preserve"> באופן מקיף בבית משפט זה. בפרשת ליכטנשטיין (</w:t>
      </w:r>
      <w:hyperlink r:id="rId15" w:tgtFrame="_blank" w:history="1">
        <w:r>
          <w:rPr>
            <w:rStyle w:val="Hyperlink"/>
            <w:rFonts w:ascii="David" w:hAnsi="David" w:cs="David"/>
            <w:b/>
            <w:bCs/>
            <w:rtl/>
          </w:rPr>
          <w:t>ע"א 285/70</w:t>
        </w:r>
      </w:hyperlink>
      <w:r>
        <w:rPr>
          <w:rFonts w:ascii="David" w:hAnsi="David" w:cs="David"/>
          <w:b/>
          <w:bCs/>
          <w:color w:val="222222"/>
          <w:rtl/>
        </w:rPr>
        <w:t xml:space="preserve"> פקיד השומה תל אביב 4 נ' ליכטנשטיין, פ"ד כה(1) 155 (1971)) ציין בית המשפט, כי כאשר שוכנע בית המשפט שהנישום פעל </w:t>
      </w:r>
      <w:r>
        <w:rPr>
          <w:rFonts w:ascii="David" w:hAnsi="David" w:cs="David"/>
          <w:b/>
          <w:bCs/>
          <w:color w:val="222222"/>
          <w:rtl/>
        </w:rPr>
        <w:lastRenderedPageBreak/>
        <w:t>בכנות ובתום לב, כי אז אין לייחס לו רשלנות. מפסיקת בתי המשפט המחוזיים עולה, כי כאשר הנישום אינו מספק ראיה או הסבר מניח את הדעת לפגמים שנמצאו בדיווחיו וכאשר משקלם המצטבר של הליקויים משמעותי כי אז יוטל הקנס (ע"מ (י-ם) 423/10 ר-ס חברה לייבוא וייצור מזון בע"מ נ' פקיד שומה ירושלים [פורסם בנבו] (7.2.2013)). כן יוטל הקנס כאשר מאופן הדיווח הכולל של הנישום עולה תמונה של פגמים המעידים על חוסר תשומת לב ראויה, זאת גם אם התקבלו בחלקן טענות הנישום בערעורו בבית המשפט (</w:t>
      </w:r>
      <w:proofErr w:type="spellStart"/>
      <w:r>
        <w:fldChar w:fldCharType="begin"/>
      </w:r>
      <w:r>
        <w:instrText>HYPERLINK "http://www.nevo.co.il/case/3592684" \t "_blank"</w:instrText>
      </w:r>
      <w:r>
        <w:fldChar w:fldCharType="separate"/>
      </w:r>
      <w:r>
        <w:rPr>
          <w:rStyle w:val="Hyperlink"/>
          <w:rFonts w:ascii="David" w:hAnsi="David" w:cs="David"/>
          <w:b/>
          <w:bCs/>
          <w:rtl/>
        </w:rPr>
        <w:t>עמ"ה</w:t>
      </w:r>
      <w:proofErr w:type="spellEnd"/>
      <w:r>
        <w:rPr>
          <w:rStyle w:val="Hyperlink"/>
          <w:rFonts w:ascii="David" w:hAnsi="David" w:cs="David"/>
          <w:b/>
          <w:bCs/>
          <w:rtl/>
        </w:rPr>
        <w:t xml:space="preserve"> (י-ם) 7/09</w:t>
      </w:r>
      <w:r>
        <w:rPr>
          <w:rStyle w:val="Hyperlink"/>
          <w:rFonts w:ascii="David" w:hAnsi="David" w:cs="David"/>
          <w:b/>
          <w:bCs/>
        </w:rPr>
        <w:fldChar w:fldCharType="end"/>
      </w:r>
      <w:r>
        <w:rPr>
          <w:rFonts w:ascii="David" w:hAnsi="David" w:cs="David"/>
          <w:b/>
          <w:bCs/>
          <w:color w:val="222222"/>
          <w:rtl/>
        </w:rPr>
        <w:t xml:space="preserve"> עזריה נ' פקיד שומה ירושלים [פורסם בנבו] 18.6.2012)). </w:t>
      </w:r>
      <w:proofErr w:type="spellStart"/>
      <w:r>
        <w:rPr>
          <w:rFonts w:ascii="David" w:hAnsi="David" w:cs="David"/>
          <w:b/>
          <w:bCs/>
          <w:color w:val="222222"/>
          <w:rtl/>
        </w:rPr>
        <w:t>ב</w:t>
      </w:r>
      <w:hyperlink r:id="rId16" w:tgtFrame="_blank" w:history="1">
        <w:r>
          <w:rPr>
            <w:rStyle w:val="Hyperlink"/>
            <w:rFonts w:ascii="David" w:hAnsi="David" w:cs="David"/>
            <w:b/>
            <w:bCs/>
            <w:rtl/>
          </w:rPr>
          <w:t>עמ"ה</w:t>
        </w:r>
        <w:proofErr w:type="spellEnd"/>
        <w:r>
          <w:rPr>
            <w:rStyle w:val="Hyperlink"/>
            <w:rFonts w:ascii="David" w:hAnsi="David" w:cs="David"/>
            <w:b/>
            <w:bCs/>
            <w:rtl/>
          </w:rPr>
          <w:t xml:space="preserve"> (ת"א) 139/87</w:t>
        </w:r>
      </w:hyperlink>
      <w:r>
        <w:rPr>
          <w:rFonts w:ascii="David" w:hAnsi="David" w:cs="David"/>
          <w:b/>
          <w:bCs/>
          <w:color w:val="222222"/>
          <w:rtl/>
        </w:rPr>
        <w:t> </w:t>
      </w:r>
      <w:proofErr w:type="spellStart"/>
      <w:r>
        <w:rPr>
          <w:rFonts w:ascii="David" w:hAnsi="David" w:cs="David"/>
          <w:b/>
          <w:bCs/>
          <w:color w:val="222222"/>
          <w:rtl/>
        </w:rPr>
        <w:t>סמואי</w:t>
      </w:r>
      <w:proofErr w:type="spellEnd"/>
      <w:r>
        <w:rPr>
          <w:rFonts w:ascii="David" w:hAnsi="David" w:cs="David"/>
          <w:b/>
          <w:bCs/>
          <w:color w:val="222222"/>
          <w:rtl/>
        </w:rPr>
        <w:t xml:space="preserve"> נ'  פקיד שומה גוש דן [פורסם בנבו] (17.11.1987) [...]".</w:t>
      </w:r>
    </w:p>
    <w:p w14:paraId="7AEF86C8" w14:textId="77777777" w:rsidR="00BB183F" w:rsidRDefault="00BB183F" w:rsidP="00BB183F">
      <w:pPr>
        <w:pStyle w:val="NormalWeb"/>
        <w:shd w:val="clear" w:color="auto" w:fill="FFFFFF"/>
        <w:bidi/>
        <w:spacing w:before="72" w:beforeAutospacing="0" w:after="0" w:afterAutospacing="0" w:line="360" w:lineRule="auto"/>
        <w:ind w:right="1134"/>
        <w:jc w:val="both"/>
        <w:rPr>
          <w:rFonts w:ascii="David" w:hAnsi="David" w:cs="David"/>
          <w:color w:val="222222"/>
          <w:rtl/>
        </w:rPr>
      </w:pPr>
    </w:p>
    <w:p w14:paraId="5212A8E1" w14:textId="77777777" w:rsidR="00BB183F" w:rsidRDefault="00BB183F" w:rsidP="00BB183F">
      <w:pPr>
        <w:pStyle w:val="NormalWeb"/>
        <w:numPr>
          <w:ilvl w:val="0"/>
          <w:numId w:val="1"/>
        </w:numPr>
        <w:shd w:val="clear" w:color="auto" w:fill="FFFFFF"/>
        <w:bidi/>
        <w:spacing w:before="72" w:beforeAutospacing="0" w:after="0" w:afterAutospacing="0" w:line="360" w:lineRule="auto"/>
        <w:ind w:right="1134"/>
        <w:jc w:val="both"/>
        <w:rPr>
          <w:rFonts w:ascii="David" w:hAnsi="David" w:cs="David"/>
          <w:color w:val="222222"/>
          <w:rtl/>
        </w:rPr>
      </w:pPr>
      <w:r>
        <w:rPr>
          <w:rFonts w:ascii="David" w:hAnsi="David" w:cs="David"/>
          <w:color w:val="222222"/>
          <w:rtl/>
        </w:rPr>
        <w:t xml:space="preserve">בעניין </w:t>
      </w:r>
      <w:r w:rsidRPr="00857CE3">
        <w:rPr>
          <w:rFonts w:ascii="David" w:hAnsi="David" w:cs="David"/>
          <w:b/>
          <w:bCs/>
          <w:color w:val="222222"/>
          <w:rtl/>
        </w:rPr>
        <w:t>יינות ביתן</w:t>
      </w:r>
      <w:r>
        <w:rPr>
          <w:rFonts w:ascii="David" w:hAnsi="David" w:cs="David"/>
          <w:color w:val="222222"/>
          <w:rtl/>
        </w:rPr>
        <w:t xml:space="preserve"> קבע בית המשפט העליון ברוח אותם דברים כך (פסקה 17):</w:t>
      </w:r>
    </w:p>
    <w:p w14:paraId="30E5B441" w14:textId="77777777" w:rsidR="00BB183F" w:rsidRDefault="00BB183F" w:rsidP="00BB183F">
      <w:pPr>
        <w:pStyle w:val="NormalWeb"/>
        <w:shd w:val="clear" w:color="auto" w:fill="FFFFFF"/>
        <w:bidi/>
        <w:spacing w:before="72" w:beforeAutospacing="0" w:after="0" w:afterAutospacing="0" w:line="360" w:lineRule="auto"/>
        <w:ind w:left="720" w:right="1134"/>
        <w:jc w:val="both"/>
        <w:rPr>
          <w:rFonts w:ascii="David" w:hAnsi="David" w:cs="David"/>
          <w:color w:val="222222"/>
        </w:rPr>
      </w:pPr>
    </w:p>
    <w:p w14:paraId="7740E665" w14:textId="77777777" w:rsidR="00BB183F" w:rsidRDefault="00BB183F" w:rsidP="00BB183F">
      <w:pPr>
        <w:pStyle w:val="NormalWeb"/>
        <w:shd w:val="clear" w:color="auto" w:fill="FFFFFF"/>
        <w:bidi/>
        <w:spacing w:before="0" w:beforeAutospacing="0" w:after="0" w:afterAutospacing="0" w:line="360" w:lineRule="auto"/>
        <w:ind w:left="1417"/>
        <w:jc w:val="both"/>
        <w:rPr>
          <w:rFonts w:ascii="David" w:hAnsi="David" w:cs="David"/>
          <w:b/>
          <w:bCs/>
          <w:color w:val="222222"/>
          <w:sz w:val="22"/>
          <w:szCs w:val="22"/>
        </w:rPr>
      </w:pPr>
      <w:r>
        <w:rPr>
          <w:rFonts w:ascii="David" w:hAnsi="David" w:cs="David"/>
          <w:b/>
          <w:bCs/>
          <w:color w:val="222222"/>
          <w:spacing w:val="10"/>
          <w:shd w:val="clear" w:color="auto" w:fill="FFFFFF"/>
          <w:rtl/>
        </w:rPr>
        <w:t>"[...] נראה אם כן, כי בבחינת ההתרשלות של נישום לצורך הטלת קנס גירעון "רגיל", בשיעור של 15%, יש להשקיף על התמונה הכוללת המצטיירת מן הדיווח שלו, בהינתן הפגמים המצטברים שנפלו בו. הנטל להוכחת אי-התרשלות רובץ על כתפי הנישום עצמו, וככל שהתמונה הכוללת חמורה יותר עליו להציג הסברים משכנעים יותר ביחס להתנהלותו. בסופו של דבר צריכים אותם הסברים להניח את הדעת בעניין היסוד הנפשי שעמד בבסיס הפגמים בדיווח, כך שיהיה ברור כי מקורם בפעולות שנעשו שלא מתוך התרשלות. בתוך כך יש להבחין בין פגמים הנובעים מעמדה לגיטימית של הנישום, שבה האמין בתום לב, גם אם היא מנוגדת לעמדת פקיד השומה</w:t>
      </w:r>
      <w:r>
        <w:rPr>
          <w:rFonts w:ascii="David" w:hAnsi="David" w:cs="David"/>
          <w:b/>
          <w:bCs/>
          <w:color w:val="222222"/>
          <w:spacing w:val="10"/>
          <w:shd w:val="clear" w:color="auto" w:fill="FFFFFF"/>
        </w:rPr>
        <w:t>; </w:t>
      </w:r>
      <w:r>
        <w:rPr>
          <w:rFonts w:ascii="David" w:hAnsi="David" w:cs="David"/>
          <w:b/>
          <w:bCs/>
          <w:color w:val="222222"/>
          <w:spacing w:val="10"/>
          <w:shd w:val="clear" w:color="auto" w:fill="FFFFFF"/>
          <w:rtl/>
        </w:rPr>
        <w:t>לבין פגמים שמקורם בחוסר תשומת לב, אי-שקידה ראויה על הדיווח או אי-עריכת בירורים נדרשים בנוגע אליו</w:t>
      </w:r>
      <w:r>
        <w:rPr>
          <w:rFonts w:ascii="David" w:hAnsi="David" w:cs="David"/>
          <w:b/>
          <w:bCs/>
          <w:color w:val="222222"/>
          <w:spacing w:val="10"/>
          <w:shd w:val="clear" w:color="auto" w:fill="FFFFFF"/>
        </w:rPr>
        <w:t>.</w:t>
      </w:r>
      <w:r>
        <w:rPr>
          <w:rFonts w:ascii="David" w:hAnsi="David" w:cs="David"/>
          <w:b/>
          <w:bCs/>
          <w:color w:val="222222"/>
          <w:sz w:val="22"/>
          <w:szCs w:val="22"/>
          <w:rtl/>
        </w:rPr>
        <w:t>"</w:t>
      </w:r>
    </w:p>
    <w:p w14:paraId="0FD3A728" w14:textId="77777777" w:rsidR="00BB183F" w:rsidRDefault="00BB183F" w:rsidP="00BB183F">
      <w:pPr>
        <w:pStyle w:val="NormalWeb"/>
        <w:shd w:val="clear" w:color="auto" w:fill="FFFFFF"/>
        <w:bidi/>
        <w:spacing w:before="0" w:beforeAutospacing="0" w:after="0" w:afterAutospacing="0" w:line="360" w:lineRule="auto"/>
        <w:ind w:left="1417" w:right="1134"/>
        <w:jc w:val="both"/>
        <w:rPr>
          <w:rFonts w:ascii="David" w:hAnsi="David" w:cs="David"/>
          <w:b/>
          <w:bCs/>
          <w:color w:val="222222"/>
          <w:sz w:val="22"/>
          <w:szCs w:val="22"/>
          <w:rtl/>
        </w:rPr>
      </w:pPr>
    </w:p>
    <w:p w14:paraId="45C063C0" w14:textId="77777777" w:rsidR="00BB183F" w:rsidRDefault="00BB183F" w:rsidP="00382EEA">
      <w:pPr>
        <w:pStyle w:val="ad"/>
        <w:numPr>
          <w:ilvl w:val="0"/>
          <w:numId w:val="1"/>
        </w:numPr>
        <w:shd w:val="clear" w:color="auto" w:fill="FFFFFF"/>
        <w:spacing w:after="16" w:line="360" w:lineRule="auto"/>
        <w:jc w:val="both"/>
        <w:rPr>
          <w:rFonts w:ascii="David" w:hAnsi="David"/>
          <w:noProof w:val="0"/>
          <w:color w:val="000000"/>
          <w:rtl/>
        </w:rPr>
      </w:pPr>
      <w:r>
        <w:rPr>
          <w:rFonts w:ascii="David" w:hAnsi="David"/>
          <w:noProof w:val="0"/>
          <w:color w:val="000000"/>
          <w:rtl/>
        </w:rPr>
        <w:t xml:space="preserve">לגופו של עניין, התרחשות האירועים </w:t>
      </w:r>
      <w:r w:rsidR="00382EEA">
        <w:rPr>
          <w:rFonts w:ascii="David" w:hAnsi="David" w:hint="cs"/>
          <w:noProof w:val="0"/>
          <w:color w:val="000000"/>
          <w:rtl/>
        </w:rPr>
        <w:t xml:space="preserve">מלמדת </w:t>
      </w:r>
      <w:r>
        <w:rPr>
          <w:rFonts w:ascii="David" w:hAnsi="David"/>
          <w:noProof w:val="0"/>
          <w:color w:val="000000"/>
          <w:rtl/>
        </w:rPr>
        <w:t xml:space="preserve">כי </w:t>
      </w:r>
      <w:r w:rsidR="00857CE3">
        <w:rPr>
          <w:rFonts w:ascii="David" w:hAnsi="David" w:hint="cs"/>
          <w:noProof w:val="0"/>
          <w:color w:val="000000"/>
          <w:rtl/>
        </w:rPr>
        <w:t>הייתה</w:t>
      </w:r>
      <w:r>
        <w:rPr>
          <w:rFonts w:ascii="David" w:hAnsi="David"/>
          <w:noProof w:val="0"/>
          <w:color w:val="000000"/>
          <w:rtl/>
        </w:rPr>
        <w:t xml:space="preserve"> רשלנות בהתנהלות המערערים בעריכת דוחותיהם ובדיווחים לאורך שנות המס. הגם שלא נראה כי המערערים </w:t>
      </w:r>
      <w:r w:rsidR="00382EEA">
        <w:rPr>
          <w:rFonts w:ascii="David" w:hAnsi="David" w:hint="cs"/>
          <w:noProof w:val="0"/>
          <w:color w:val="000000"/>
          <w:rtl/>
        </w:rPr>
        <w:t xml:space="preserve">פעלו בחוסר </w:t>
      </w:r>
      <w:r>
        <w:rPr>
          <w:rFonts w:ascii="David" w:hAnsi="David"/>
          <w:noProof w:val="0"/>
          <w:color w:val="000000"/>
          <w:rtl/>
        </w:rPr>
        <w:t>תום לב או שפעולותיהם היו לשם התחמקות מתשלום מס, המערערים לא עמדו בנטל ההוכחה כי לא התרשלו כאמור. אילו היה נקבע שחל גירעון (חיוב במס הכנסה על שינוי הייעוד), היה מקום לחיוב</w:t>
      </w:r>
      <w:r w:rsidR="00382EEA">
        <w:rPr>
          <w:rFonts w:ascii="David" w:hAnsi="David" w:hint="cs"/>
          <w:noProof w:val="0"/>
          <w:color w:val="000000"/>
          <w:rtl/>
        </w:rPr>
        <w:t xml:space="preserve"> המערערים בקנס גרעון</w:t>
      </w:r>
      <w:r>
        <w:rPr>
          <w:rFonts w:ascii="David" w:hAnsi="David"/>
          <w:noProof w:val="0"/>
          <w:color w:val="000000"/>
          <w:rtl/>
        </w:rPr>
        <w:t>.</w:t>
      </w:r>
      <w:r w:rsidR="00857CE3">
        <w:rPr>
          <w:rFonts w:ascii="David" w:hAnsi="David" w:hint="cs"/>
          <w:noProof w:val="0"/>
          <w:color w:val="000000"/>
          <w:rtl/>
        </w:rPr>
        <w:t xml:space="preserve"> אולם,</w:t>
      </w:r>
      <w:r>
        <w:rPr>
          <w:rFonts w:ascii="David" w:hAnsi="David"/>
          <w:noProof w:val="0"/>
          <w:color w:val="000000"/>
          <w:rtl/>
        </w:rPr>
        <w:t xml:space="preserve"> משהתקבלה עמדת המערערים</w:t>
      </w:r>
      <w:r w:rsidR="00382EEA">
        <w:rPr>
          <w:rFonts w:ascii="David" w:hAnsi="David" w:hint="cs"/>
          <w:noProof w:val="0"/>
          <w:color w:val="000000"/>
          <w:rtl/>
        </w:rPr>
        <w:t xml:space="preserve"> בסוגיית שינוי הייעוד</w:t>
      </w:r>
      <w:r>
        <w:rPr>
          <w:rFonts w:ascii="David" w:hAnsi="David"/>
          <w:noProof w:val="0"/>
          <w:color w:val="000000"/>
          <w:rtl/>
        </w:rPr>
        <w:t>, אין מקום לחיוב בקנס.</w:t>
      </w:r>
    </w:p>
    <w:p w14:paraId="00BF9BC3" w14:textId="77777777" w:rsidR="00BB183F" w:rsidRDefault="00BB183F" w:rsidP="00BB183F">
      <w:pPr>
        <w:pStyle w:val="ad"/>
        <w:shd w:val="clear" w:color="auto" w:fill="FFFFFF"/>
        <w:spacing w:after="16" w:line="360" w:lineRule="auto"/>
        <w:jc w:val="both"/>
        <w:rPr>
          <w:rFonts w:ascii="David" w:hAnsi="David"/>
          <w:noProof w:val="0"/>
          <w:color w:val="000000"/>
          <w:highlight w:val="yellow"/>
        </w:rPr>
      </w:pPr>
    </w:p>
    <w:p w14:paraId="51C7479A" w14:textId="77777777" w:rsidR="00BB183F" w:rsidRDefault="00BB183F" w:rsidP="00BB183F">
      <w:pPr>
        <w:spacing w:line="360" w:lineRule="auto"/>
        <w:jc w:val="both"/>
        <w:rPr>
          <w:rFonts w:ascii="Arial" w:hAnsi="Arial"/>
          <w:b/>
          <w:bCs/>
          <w:noProof w:val="0"/>
          <w:u w:val="single"/>
        </w:rPr>
      </w:pPr>
      <w:r>
        <w:rPr>
          <w:rFonts w:ascii="Arial" w:hAnsi="Arial"/>
          <w:b/>
          <w:bCs/>
          <w:noProof w:val="0"/>
          <w:u w:val="single"/>
          <w:rtl/>
        </w:rPr>
        <w:t>סוף דבר</w:t>
      </w:r>
    </w:p>
    <w:p w14:paraId="6512CEE3" w14:textId="77777777" w:rsidR="00BB183F" w:rsidRDefault="00BB183F" w:rsidP="00BB183F">
      <w:pPr>
        <w:pStyle w:val="ad"/>
        <w:numPr>
          <w:ilvl w:val="0"/>
          <w:numId w:val="1"/>
        </w:numPr>
        <w:spacing w:line="360" w:lineRule="auto"/>
        <w:jc w:val="both"/>
        <w:rPr>
          <w:rFonts w:ascii="Arial" w:hAnsi="Arial"/>
          <w:noProof w:val="0"/>
          <w:rtl/>
        </w:rPr>
      </w:pPr>
      <w:r>
        <w:rPr>
          <w:rFonts w:ascii="Arial" w:hAnsi="Arial"/>
          <w:noProof w:val="0"/>
          <w:rtl/>
        </w:rPr>
        <w:t>לאור כל האמור לעיל, הערעור מתקבל במלואו. המשיב ישלם למערערים הוצאות ושכ"ט  עו"ד בסכום כולל של 40,000 ש"ח תוך 45 ימים מהיום. לאחר מועד זה יתווספו לסכום הנ"ל הפרשי הצמדה וריבית כחוק.</w:t>
      </w:r>
    </w:p>
    <w:p w14:paraId="1D97CE02" w14:textId="77777777" w:rsidR="00BB183F" w:rsidRDefault="00BB183F" w:rsidP="00BB183F">
      <w:pPr>
        <w:spacing w:line="360" w:lineRule="auto"/>
        <w:jc w:val="both"/>
        <w:rPr>
          <w:rFonts w:ascii="Arial" w:hAnsi="Arial"/>
          <w:noProof w:val="0"/>
        </w:rPr>
      </w:pPr>
    </w:p>
    <w:p w14:paraId="63C6D9A6" w14:textId="77777777" w:rsidR="00BB183F" w:rsidRPr="00382EEA" w:rsidRDefault="00BB183F" w:rsidP="00BB183F">
      <w:pPr>
        <w:spacing w:line="360" w:lineRule="auto"/>
        <w:jc w:val="both"/>
        <w:rPr>
          <w:rFonts w:ascii="Arial" w:hAnsi="Arial"/>
          <w:b/>
          <w:bCs/>
          <w:noProof w:val="0"/>
          <w:rtl/>
        </w:rPr>
      </w:pPr>
      <w:r w:rsidRPr="00382EEA">
        <w:rPr>
          <w:rFonts w:ascii="Arial" w:hAnsi="Arial"/>
          <w:b/>
          <w:bCs/>
          <w:noProof w:val="0"/>
          <w:rtl/>
        </w:rPr>
        <w:t>המזכירות תמציא את פסק הדין לב"כ הצדדים.</w:t>
      </w:r>
    </w:p>
    <w:p w14:paraId="5E98949D" w14:textId="77777777" w:rsidR="00382EEA" w:rsidRDefault="00382EEA" w:rsidP="00BB183F">
      <w:pPr>
        <w:spacing w:line="360" w:lineRule="auto"/>
        <w:jc w:val="both"/>
        <w:rPr>
          <w:rFonts w:ascii="Arial" w:hAnsi="Arial"/>
          <w:noProof w:val="0"/>
          <w:rtl/>
        </w:rPr>
      </w:pPr>
    </w:p>
    <w:p w14:paraId="1E8A26AD" w14:textId="77777777" w:rsidR="00BB183F" w:rsidRDefault="00BB183F" w:rsidP="00BB183F">
      <w:pPr>
        <w:spacing w:line="360" w:lineRule="auto"/>
        <w:jc w:val="both"/>
        <w:rPr>
          <w:rFonts w:ascii="Arial" w:hAnsi="Arial"/>
          <w:noProof w:val="0"/>
          <w:rtl/>
        </w:rPr>
      </w:pPr>
      <w:r>
        <w:rPr>
          <w:rFonts w:ascii="Arial" w:hAnsi="Arial"/>
          <w:noProof w:val="0"/>
          <w:rtl/>
        </w:rPr>
        <w:t>ניתן לפרסם את פסק הדין.</w:t>
      </w:r>
    </w:p>
    <w:p w14:paraId="34FA73F2" w14:textId="77777777" w:rsidR="00BB183F" w:rsidRDefault="00BB183F" w:rsidP="00BB183F">
      <w:pPr>
        <w:spacing w:line="360" w:lineRule="auto"/>
        <w:jc w:val="both"/>
        <w:rPr>
          <w:rFonts w:ascii="Arial" w:hAnsi="Arial"/>
          <w:noProof w:val="0"/>
          <w:rtl/>
        </w:rPr>
      </w:pPr>
    </w:p>
    <w:p w14:paraId="073ECE21" w14:textId="77777777" w:rsidR="00BB183F" w:rsidRDefault="00BB183F" w:rsidP="0090091B">
      <w:pPr>
        <w:spacing w:line="360" w:lineRule="auto"/>
        <w:jc w:val="both"/>
        <w:rPr>
          <w:rFonts w:ascii="Arial" w:hAnsi="Arial"/>
          <w:noProof w:val="0"/>
          <w:rtl/>
        </w:rPr>
      </w:pPr>
      <w:r>
        <w:rPr>
          <w:rFonts w:ascii="Arial" w:hAnsi="Arial"/>
          <w:noProof w:val="0"/>
          <w:rtl/>
        </w:rPr>
        <w:t xml:space="preserve">ניתן היום,  </w:t>
      </w:r>
      <w:r w:rsidR="00382EEA">
        <w:rPr>
          <w:rFonts w:hint="cs"/>
          <w:rtl/>
        </w:rPr>
        <w:t>כ"</w:t>
      </w:r>
      <w:r w:rsidR="0090091B">
        <w:rPr>
          <w:rFonts w:hint="cs"/>
          <w:rtl/>
        </w:rPr>
        <w:t>ו</w:t>
      </w:r>
      <w:r w:rsidR="00382EEA">
        <w:rPr>
          <w:rFonts w:hint="cs"/>
          <w:rtl/>
        </w:rPr>
        <w:t xml:space="preserve"> </w:t>
      </w:r>
      <w:r w:rsidR="00382EEA">
        <w:rPr>
          <w:rFonts w:ascii="Arial" w:hAnsi="Arial" w:hint="cs"/>
          <w:noProof w:val="0"/>
          <w:rtl/>
        </w:rPr>
        <w:t>אלול תשפ"ד,</w:t>
      </w:r>
      <w:r>
        <w:rPr>
          <w:rFonts w:ascii="Arial" w:hAnsi="Arial"/>
          <w:noProof w:val="0"/>
          <w:rtl/>
        </w:rPr>
        <w:t xml:space="preserve"> </w:t>
      </w:r>
      <w:sdt>
        <w:sdtPr>
          <w:rPr>
            <w:rtl/>
          </w:rPr>
          <w:alias w:val="1456"/>
          <w:tag w:val="1456"/>
          <w:id w:val="1108006587"/>
          <w:text w:multiLine="1"/>
        </w:sdtPr>
        <w:sdtEndPr/>
        <w:sdtContent>
          <w:r>
            <w:rPr>
              <w:rFonts w:hint="cs"/>
              <w:rtl/>
            </w:rPr>
            <w:t>29 ספטמבר 2024</w:t>
          </w:r>
        </w:sdtContent>
      </w:sdt>
      <w:r>
        <w:rPr>
          <w:rFonts w:ascii="Arial" w:hAnsi="Arial"/>
          <w:noProof w:val="0"/>
          <w:rtl/>
        </w:rPr>
        <w:t>, בהעדר הצדדים.</w:t>
      </w:r>
    </w:p>
    <w:p w14:paraId="0F7678D8" w14:textId="77777777" w:rsidR="00BB183F" w:rsidRDefault="00BB183F" w:rsidP="00BB183F">
      <w:pPr>
        <w:spacing w:line="360" w:lineRule="auto"/>
        <w:jc w:val="both"/>
        <w:rPr>
          <w:rFonts w:ascii="Arial" w:hAnsi="Arial"/>
          <w:noProof w:val="0"/>
          <w:rtl/>
        </w:rPr>
      </w:pPr>
    </w:p>
    <w:p w14:paraId="4F06BA6E" w14:textId="77777777" w:rsidR="00BB183F" w:rsidRDefault="00C5440D" w:rsidP="00BB183F">
      <w:pPr>
        <w:spacing w:line="360" w:lineRule="auto"/>
        <w:ind w:left="3600" w:firstLine="720"/>
        <w:jc w:val="both"/>
      </w:pPr>
      <w:sdt>
        <w:sdtPr>
          <w:rPr>
            <w:rtl/>
          </w:rPr>
          <w:alias w:val="MergeField"/>
          <w:tag w:val="1237"/>
          <w:id w:val="152415590"/>
        </w:sdtPr>
        <w:sdtEndPr/>
        <w:sdtContent>
          <w:r w:rsidR="0091426B">
            <w:drawing>
              <wp:inline distT="0" distB="0" distL="0" distR="0" wp14:anchorId="702424EC" wp14:editId="35A958D6">
                <wp:extent cx="151447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17" cstate="print"/>
                        <a:stretch>
                          <a:fillRect/>
                        </a:stretch>
                      </pic:blipFill>
                      <pic:spPr>
                        <a:xfrm>
                          <a:off x="0" y="0"/>
                          <a:ext cx="1514475" cy="742950"/>
                        </a:xfrm>
                        <a:prstGeom prst="rect">
                          <a:avLst/>
                        </a:prstGeom>
                      </pic:spPr>
                    </pic:pic>
                  </a:graphicData>
                </a:graphic>
              </wp:inline>
            </w:drawing>
          </w:r>
        </w:sdtContent>
      </w:sdt>
    </w:p>
    <w:p w14:paraId="502ADE22" w14:textId="77777777" w:rsidR="00BB183F" w:rsidRDefault="00BB183F" w:rsidP="00BB183F">
      <w:pPr>
        <w:spacing w:line="360" w:lineRule="auto"/>
        <w:ind w:left="3600" w:firstLine="720"/>
        <w:jc w:val="both"/>
        <w:rPr>
          <w:rFonts w:ascii="Arial" w:hAnsi="Arial"/>
          <w:noProof w:val="0"/>
          <w:rtl/>
        </w:rPr>
      </w:pPr>
    </w:p>
    <w:p w14:paraId="1798A5D5" w14:textId="77777777" w:rsidR="00BB183F" w:rsidRDefault="00BB183F" w:rsidP="00BB183F">
      <w:pPr>
        <w:spacing w:line="360" w:lineRule="auto"/>
        <w:jc w:val="both"/>
        <w:rPr>
          <w:rFonts w:ascii="Arial" w:hAnsi="Arial"/>
          <w:noProof w:val="0"/>
          <w:rtl/>
        </w:rPr>
      </w:pPr>
    </w:p>
    <w:p w14:paraId="561E89EF" w14:textId="77777777" w:rsidR="00BB183F" w:rsidRDefault="00BB183F" w:rsidP="00BB183F">
      <w:pPr>
        <w:rPr>
          <w:rtl/>
        </w:rPr>
      </w:pPr>
    </w:p>
    <w:p w14:paraId="6C9E8072" w14:textId="77777777" w:rsidR="00BB183F" w:rsidRDefault="00BB183F" w:rsidP="00BB183F"/>
    <w:p w14:paraId="17B28177" w14:textId="77777777" w:rsidR="00694556" w:rsidRDefault="00694556">
      <w:pPr>
        <w:spacing w:line="360" w:lineRule="auto"/>
        <w:jc w:val="both"/>
        <w:rPr>
          <w:rFonts w:ascii="Arial" w:hAnsi="Arial"/>
          <w:noProof w:val="0"/>
          <w:rtl/>
        </w:rPr>
      </w:pPr>
    </w:p>
    <w:p w14:paraId="361D6302" w14:textId="77777777" w:rsidR="00694556" w:rsidRDefault="00694556">
      <w:pPr>
        <w:spacing w:line="360" w:lineRule="auto"/>
        <w:jc w:val="both"/>
        <w:rPr>
          <w:rFonts w:ascii="Arial" w:hAnsi="Arial"/>
          <w:noProof w:val="0"/>
          <w:rtl/>
        </w:rPr>
      </w:pPr>
    </w:p>
    <w:p w14:paraId="206C2715" w14:textId="77777777" w:rsidR="00694556" w:rsidRDefault="00694556">
      <w:pPr>
        <w:spacing w:line="360" w:lineRule="auto"/>
        <w:jc w:val="both"/>
        <w:rPr>
          <w:rFonts w:ascii="Arial" w:hAnsi="Arial"/>
          <w:noProof w:val="0"/>
          <w:rtl/>
        </w:rPr>
      </w:pPr>
    </w:p>
    <w:sectPr w:rsidR="00694556" w:rsidSect="00903896">
      <w:headerReference w:type="even" r:id="rId18"/>
      <w:headerReference w:type="default" r:id="rId19"/>
      <w:footerReference w:type="even" r:id="rId20"/>
      <w:footerReference w:type="default" r:id="rId21"/>
      <w:headerReference w:type="first" r:id="rId22"/>
      <w:footerReference w:type="first" r:id="rId23"/>
      <w:pgSz w:w="11907" w:h="16840" w:code="9"/>
      <w:pgMar w:top="720" w:right="1701" w:bottom="1134" w:left="1701" w:header="720" w:footer="737"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E0D75" w14:textId="77777777" w:rsidR="0091426B" w:rsidRDefault="0091426B">
      <w:r>
        <w:separator/>
      </w:r>
    </w:p>
  </w:endnote>
  <w:endnote w:type="continuationSeparator" w:id="0">
    <w:p w14:paraId="1BAD1D60" w14:textId="77777777" w:rsidR="0091426B" w:rsidRDefault="0091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5D0DE" w14:textId="77777777" w:rsidR="00C5440D" w:rsidRDefault="00C5440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AA00" w14:textId="77777777" w:rsidR="00694556" w:rsidRPr="004E6E3C" w:rsidRDefault="003944DB">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8D146D">
      <w:rPr>
        <w:rStyle w:val="ab"/>
        <w:rFonts w:cs="Times New Roman"/>
        <w:rtl/>
      </w:rPr>
      <w:t>1</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8D146D">
      <w:rPr>
        <w:rStyle w:val="ab"/>
        <w:rtl/>
      </w:rPr>
      <w:t>17</w:t>
    </w:r>
    <w:r w:rsidRPr="004E6E3C">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C8CFC" w14:textId="77777777" w:rsidR="00C5440D" w:rsidRDefault="00C544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80F19" w14:textId="77777777" w:rsidR="0091426B" w:rsidRDefault="0091426B">
      <w:r>
        <w:separator/>
      </w:r>
    </w:p>
  </w:footnote>
  <w:footnote w:type="continuationSeparator" w:id="0">
    <w:p w14:paraId="65C11ED4" w14:textId="77777777" w:rsidR="0091426B" w:rsidRDefault="00914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8A9DC" w14:textId="77777777" w:rsidR="00C5440D" w:rsidRDefault="00C544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3288" w14:textId="77777777" w:rsidR="00694556" w:rsidRDefault="006B23BF">
    <w:pPr>
      <w:pStyle w:val="a3"/>
      <w:jc w:val="center"/>
      <w:rPr>
        <w:rFonts w:cs="FrankRuehl"/>
        <w:noProof w:val="0"/>
        <w:sz w:val="28"/>
        <w:szCs w:val="28"/>
        <w:rtl/>
      </w:rPr>
    </w:pPr>
    <w:r>
      <w:rPr>
        <w:rFonts w:cs="FrankRuehl"/>
        <w:sz w:val="28"/>
        <w:szCs w:val="28"/>
      </w:rPr>
      <w:drawing>
        <wp:inline distT="0" distB="0" distL="0" distR="0" wp14:anchorId="5092B788" wp14:editId="2797B772">
          <wp:extent cx="374015" cy="469265"/>
          <wp:effectExtent l="0" t="0" r="6985" b="6985"/>
          <wp:docPr id="2"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907"/>
      <w:gridCol w:w="3598"/>
    </w:tblGrid>
    <w:tr w:rsidR="00694556" w14:paraId="6CA9D688" w14:textId="77777777">
      <w:trPr>
        <w:trHeight w:hRule="exact" w:val="418"/>
        <w:jc w:val="center"/>
      </w:trPr>
      <w:tc>
        <w:tcPr>
          <w:tcW w:w="8721" w:type="dxa"/>
          <w:gridSpan w:val="2"/>
        </w:tcPr>
        <w:p w14:paraId="5C4F6385" w14:textId="77777777" w:rsidR="00694556" w:rsidRDefault="00185DB8">
          <w:pPr>
            <w:pStyle w:val="a3"/>
            <w:jc w:val="center"/>
            <w:rPr>
              <w:rFonts w:ascii="Tahoma" w:hAnsi="Tahoma" w:cs="Tahoma"/>
              <w:noProof w:val="0"/>
              <w:color w:val="000080"/>
              <w:rtl/>
            </w:rPr>
          </w:pPr>
          <w:r>
            <w:rPr>
              <w:rFonts w:ascii="Tahoma" w:hAnsi="Tahoma" w:cs="Tahoma" w:hint="cs"/>
              <w:b/>
              <w:bCs/>
              <w:noProof w:val="0"/>
              <w:color w:val="000080"/>
              <w:rtl/>
            </w:rPr>
            <w:t>בית המשפט המחוזי בירושלים</w:t>
          </w:r>
        </w:p>
      </w:tc>
    </w:tr>
    <w:tr w:rsidR="00694556" w14:paraId="05D4B664" w14:textId="77777777">
      <w:trPr>
        <w:trHeight w:val="337"/>
        <w:jc w:val="center"/>
      </w:trPr>
      <w:tc>
        <w:tcPr>
          <w:tcW w:w="5047" w:type="dxa"/>
        </w:tcPr>
        <w:p w14:paraId="4A980ADA" w14:textId="77777777" w:rsidR="00694556" w:rsidRDefault="00694556">
          <w:pPr>
            <w:rPr>
              <w:b/>
              <w:bCs/>
              <w:noProof w:val="0"/>
              <w:sz w:val="26"/>
              <w:szCs w:val="26"/>
              <w:rtl/>
            </w:rPr>
          </w:pPr>
        </w:p>
      </w:tc>
      <w:sdt>
        <w:sdtPr>
          <w:rPr>
            <w:rtl/>
          </w:rPr>
          <w:alias w:val="1456"/>
          <w:tag w:val="1456"/>
          <w:id w:val="-607579908"/>
          <w:text/>
        </w:sdtPr>
        <w:sdtEndPr/>
        <w:sdtContent>
          <w:tc>
            <w:tcPr>
              <w:tcW w:w="3674" w:type="dxa"/>
            </w:tcPr>
            <w:p w14:paraId="45E53951" w14:textId="77777777" w:rsidR="00694556" w:rsidRDefault="00005C8B" w:rsidP="006371E3">
              <w:pPr>
                <w:pStyle w:val="a3"/>
                <w:jc w:val="right"/>
                <w:rPr>
                  <w:b/>
                  <w:bCs/>
                  <w:noProof w:val="0"/>
                  <w:sz w:val="26"/>
                  <w:szCs w:val="26"/>
                  <w:rtl/>
                </w:rPr>
              </w:pPr>
              <w:r>
                <w:rPr>
                  <w:b/>
                  <w:bCs/>
                  <w:noProof w:val="0"/>
                  <w:sz w:val="26"/>
                  <w:szCs w:val="26"/>
                  <w:rtl/>
                </w:rPr>
                <w:t>29 ספטמבר 2024</w:t>
              </w:r>
            </w:p>
          </w:tc>
        </w:sdtContent>
      </w:sdt>
    </w:tr>
    <w:tr w:rsidR="00694556" w14:paraId="2DC17996" w14:textId="77777777">
      <w:trPr>
        <w:trHeight w:val="337"/>
        <w:jc w:val="center"/>
      </w:trPr>
      <w:tc>
        <w:tcPr>
          <w:tcW w:w="8721" w:type="dxa"/>
          <w:gridSpan w:val="2"/>
        </w:tcPr>
        <w:p w14:paraId="4C65C543" w14:textId="77777777" w:rsidR="00694556" w:rsidRDefault="00C5440D">
          <w:pPr>
            <w:rPr>
              <w:b/>
              <w:bCs/>
              <w:noProof w:val="0"/>
              <w:sz w:val="26"/>
              <w:szCs w:val="26"/>
              <w:rtl/>
            </w:rPr>
          </w:pPr>
          <w:sdt>
            <w:sdtPr>
              <w:rPr>
                <w:rtl/>
              </w:rPr>
              <w:alias w:val="1170"/>
              <w:tag w:val="1170"/>
              <w:id w:val="-439763973"/>
              <w:text w:multiLine="1"/>
            </w:sdtPr>
            <w:sdtEndPr/>
            <w:sdtContent>
              <w:r w:rsidR="00986101">
                <w:rPr>
                  <w:b/>
                  <w:bCs/>
                  <w:noProof w:val="0"/>
                  <w:sz w:val="26"/>
                  <w:szCs w:val="26"/>
                  <w:rtl/>
                </w:rPr>
                <w:t>ע"מ</w:t>
              </w:r>
            </w:sdtContent>
          </w:sdt>
          <w:r w:rsidR="00005C8B">
            <w:rPr>
              <w:b/>
              <w:bCs/>
              <w:noProof w:val="0"/>
              <w:sz w:val="26"/>
              <w:szCs w:val="26"/>
              <w:rtl/>
            </w:rPr>
            <w:t xml:space="preserve"> </w:t>
          </w:r>
          <w:sdt>
            <w:sdtPr>
              <w:rPr>
                <w:rtl/>
              </w:rPr>
              <w:alias w:val="1171"/>
              <w:tag w:val="1171"/>
              <w:id w:val="-418721140"/>
              <w:text w:multiLine="1"/>
            </w:sdtPr>
            <w:sdtEndPr/>
            <w:sdtContent>
              <w:r w:rsidR="00986101">
                <w:rPr>
                  <w:b/>
                  <w:bCs/>
                  <w:noProof w:val="0"/>
                  <w:sz w:val="26"/>
                  <w:szCs w:val="26"/>
                  <w:rtl/>
                </w:rPr>
                <w:t>2454-03-21</w:t>
              </w:r>
            </w:sdtContent>
          </w:sdt>
          <w:r w:rsidR="00005C8B">
            <w:rPr>
              <w:b/>
              <w:bCs/>
              <w:noProof w:val="0"/>
              <w:sz w:val="26"/>
              <w:szCs w:val="26"/>
              <w:rtl/>
            </w:rPr>
            <w:t xml:space="preserve"> </w:t>
          </w:r>
          <w:sdt>
            <w:sdtPr>
              <w:rPr>
                <w:rtl/>
              </w:rPr>
              <w:alias w:val="1172"/>
              <w:tag w:val="1172"/>
              <w:id w:val="-1527558386"/>
              <w:text w:multiLine="1"/>
            </w:sdtPr>
            <w:sdtEndPr/>
            <w:sdtContent>
              <w:r w:rsidR="00986101">
                <w:rPr>
                  <w:b/>
                  <w:bCs/>
                  <w:noProof w:val="0"/>
                  <w:sz w:val="26"/>
                  <w:szCs w:val="26"/>
                  <w:rtl/>
                </w:rPr>
                <w:t>ידיד ואח' נ' פקיד שומה ירושלים סניף כנפי נשרים</w:t>
              </w:r>
            </w:sdtContent>
          </w:sdt>
        </w:p>
        <w:p w14:paraId="774D783F" w14:textId="77777777" w:rsidR="00694556" w:rsidRDefault="00694556">
          <w:pPr>
            <w:rPr>
              <w:rtl/>
            </w:rPr>
          </w:pPr>
        </w:p>
        <w:p w14:paraId="720B1214" w14:textId="77777777" w:rsidR="00C10305" w:rsidRDefault="00C10305">
          <w:pPr>
            <w:rPr>
              <w:rtl/>
            </w:rPr>
          </w:pPr>
        </w:p>
      </w:tc>
    </w:tr>
  </w:tbl>
  <w:p w14:paraId="72622DC1" w14:textId="77777777" w:rsidR="00694556" w:rsidRDefault="00005C8B">
    <w:pPr>
      <w:pStyle w:val="a3"/>
      <w:rPr>
        <w:noProof w:val="0"/>
        <w:rtl/>
      </w:rPr>
    </w:pPr>
    <w:r>
      <w:rPr>
        <w:noProof w:val="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E625" w14:textId="77777777" w:rsidR="00C5440D" w:rsidRDefault="00C544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D576E7"/>
    <w:multiLevelType w:val="hybridMultilevel"/>
    <w:tmpl w:val="44FE467C"/>
    <w:lvl w:ilvl="0" w:tplc="6054FDB2">
      <w:start w:val="1"/>
      <w:numFmt w:val="decimal"/>
      <w:lvlText w:val="%1."/>
      <w:lvlJc w:val="left"/>
      <w:pPr>
        <w:ind w:left="720" w:hanging="360"/>
      </w:pPr>
      <w:rPr>
        <w:rFonts w:ascii="David" w:hAnsi="David" w:cs="David" w:hint="default"/>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D463ED2"/>
    <w:multiLevelType w:val="hybridMultilevel"/>
    <w:tmpl w:val="680CFF70"/>
    <w:lvl w:ilvl="0" w:tplc="A3FC9C66">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101029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782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ID" w:val="78148018"/>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8148018&amp;lt;/CaseID&amp;gt;_x000d__x000a_        &amp;lt;CaseMonth&amp;gt;3&amp;lt;/CaseMonth&amp;gt;_x000d__x000a_        &amp;lt;CaseYear&amp;gt;2021&amp;lt;/CaseYear&amp;gt;_x000d__x000a_        &amp;lt;CaseNumber&amp;gt;2454&amp;lt;/CaseNumber&amp;gt;_x000d__x000a_        &amp;lt;NumeratorGroupID&amp;gt;1&amp;lt;/NumeratorGroupID&amp;gt;_x000d__x000a_        &amp;lt;CaseName&amp;gt;ידיד ואח&amp;#39; נ&amp;#39; פקיד שומה ירושלים סניף כנפי נשרים&amp;lt;/CaseName&amp;gt;_x000d__x000a_        &amp;lt;CourtID&amp;gt;14&amp;lt;/CourtID&amp;gt;_x000d__x000a_        &amp;lt;CaseTypeID&amp;gt;10113&amp;lt;/CaseTypeID&amp;gt;_x000d__x000a_        &amp;lt;CaseInterestID&amp;gt;65&amp;lt;/CaseInterestID&amp;gt;_x000d__x000a_        &amp;lt;CaseJudgeName&amp;gt;אביגדור דורות&amp;lt;/CaseJudgeName&amp;gt;_x000d__x000a_        &amp;lt;ProcedureID&amp;gt;1&amp;lt;/ProcedureID&amp;gt;_x000d__x000a_        &amp;lt;CaseStatusID&amp;gt;1&amp;lt;/CaseStatusID&amp;gt;_x000d__x000a_        &amp;lt;ProceedingID&amp;gt;4&amp;lt;/ProceedingID&amp;gt;_x000d__x000a_        &amp;lt;IsCaseLinked&amp;gt;false&amp;lt;/IsCaseLinked&amp;gt;_x000d__x000a_        &amp;lt;PrivilegeID&amp;gt;2&amp;lt;/PrivilegeID&amp;gt;_x000d__x000a_        &amp;lt;IsAppealingCaseExist&amp;gt;false&amp;lt;/IsAppealingCaseExist&amp;gt;_x000d__x000a_        &amp;lt;CaseDisplayIdentifier&amp;gt;2454-03-21&amp;lt;/CaseDisplayIdentifier&amp;gt;_x000d__x000a_        &amp;lt;CaseTypeDesc&amp;gt;ע&amp;quot;מ&amp;lt;/CaseTypeDesc&amp;gt;_x000d__x000a_        &amp;lt;CourtDesc&amp;gt;המחוזי ירושלים&amp;lt;/CourtDesc&amp;gt;_x000d__x000a_        &amp;lt;CaseStageDesc&amp;gt;תיק אלקטרוני&amp;lt;/CaseStageDesc&amp;gt;_x000d__x000a_        &amp;lt;IsUnpaidFeeExist&amp;gt;false&amp;lt;/IsUnpaidFeeExist&amp;gt;_x000d__x000a_        &amp;lt;CaseNextDeterminingTask&amp;gt;34&amp;lt;/CaseNextDeterminingTask&amp;gt;_x000d__x000a_        &amp;lt;CaseOpenDate&amp;gt;2021-03-01T14:47:00+02:00&amp;lt;/CaseOpenDate&amp;gt;_x000d__x000a_        &amp;lt;PleaTypeID&amp;gt;6&amp;lt;/PleaTypeID&amp;gt;_x000d__x000a_        &amp;lt;CourtLevelID&amp;gt;2&amp;lt;/CourtLevelID&amp;gt;_x000d__x000a_        &amp;lt;CourtLevelCaseTypeInterestID&amp;gt;1153&amp;lt;/CourtLevelCaseTypeInterestID&amp;gt;_x000d__x000a_        &amp;lt;CaseJudgeFirstName&amp;gt;אביגדור&amp;lt;/CaseJudgeFirstName&amp;gt;_x000d__x000a_        &amp;lt;CaseJudgeLastName&amp;gt;דורות&amp;lt;/CaseJudgeLastName&amp;gt;_x000d__x000a_        &amp;lt;JudicalPersonID&amp;gt;055121115@GOV.IL&amp;lt;/JudicalPersonID&amp;gt;_x000d__x000a_        &amp;lt;IsJudicalPanel&amp;gt;false&amp;lt;/IsJudicalPanel&amp;gt;_x000d__x000a_        &amp;lt;CourtDisplayName&amp;gt;בית המשפט המחוזי בירושלים בשבתו כבית-משפט לעניינים מנהליים&amp;lt;/CourtDisplayName&amp;gt;_x000d__x000a_        &amp;lt;IsAllStartDataCollected&amp;gt;true&amp;lt;/IsAllStartDataCollected&amp;gt;_x000d__x000a_        &amp;lt;CaseDesc&amp;gt;בארון&amp;lt;/CaseDesc&amp;gt;_x000d__x000a_        &amp;lt;isExistMinorSide&amp;gt;false&amp;lt;/isExistMinorSide&amp;gt;_x000d__x000a_        &amp;lt;isExistMinorWitness&amp;gt;false&amp;lt;/isExistMinorWitnes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tru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8148018&amp;lt;/CaseID&amp;gt;_x000d__x000a_        &amp;lt;CaseMonth&amp;gt;3&amp;lt;/CaseMonth&amp;gt;_x000d__x000a_        &amp;lt;CaseYear&amp;gt;2021&amp;lt;/CaseYear&amp;gt;_x000d__x000a_        &amp;lt;CaseNumber&amp;gt;2454&amp;lt;/CaseNumber&amp;gt;_x000d__x000a_        &amp;lt;NumeratorGroupID&amp;gt;1&amp;lt;/NumeratorGroupID&amp;gt;_x000d__x000a_        &amp;lt;CaseName&amp;gt;ידיד ואח&amp;#39; נ&amp;#39; פקיד שומה ירושלים סניף כנפי נשרים&amp;lt;/CaseName&amp;gt;_x000d__x000a_        &amp;lt;CourtID&amp;gt;14&amp;lt;/CourtID&amp;gt;_x000d__x000a_        &amp;lt;CaseTypeID&amp;gt;10113&amp;lt;/CaseTypeID&amp;gt;_x000d__x000a_        &amp;lt;CaseInterestID&amp;gt;65&amp;lt;/CaseInterestID&amp;gt;_x000d__x000a_        &amp;lt;CaseJudgeName&amp;gt;אביגדור דורות&amp;lt;/CaseJudgeName&amp;gt;_x000d__x000a_        &amp;lt;ProcedureID&amp;gt;1&amp;lt;/ProcedureID&amp;gt;_x000d__x000a_        &amp;lt;CaseStatusID&amp;gt;1&amp;lt;/CaseStatusID&amp;gt;_x000d__x000a_        &amp;lt;ProceedingID&amp;gt;4&amp;lt;/ProceedingID&amp;gt;_x000d__x000a_        &amp;lt;IsCaseLinked&amp;gt;false&amp;lt;/IsCaseLinked&amp;gt;_x000d__x000a_        &amp;lt;PrivilegeID&amp;gt;2&amp;lt;/PrivilegeID&amp;gt;_x000d__x000a_        &amp;lt;IsAppealingCaseExist&amp;gt;false&amp;lt;/IsAppealingCaseExist&amp;gt;_x000d__x000a_        &amp;lt;CaseDisplayIdentifier&amp;gt;2454-03-21&amp;lt;/CaseDisplayIdentifier&amp;gt;_x000d__x000a_        &amp;lt;CaseTypeDesc&amp;gt;ע&amp;quot;מ&amp;lt;/CaseTypeDesc&amp;gt;_x000d__x000a_        &amp;lt;CourtDesc&amp;gt;המחוזי ירושלים&amp;lt;/CourtDesc&amp;gt;_x000d__x000a_        &amp;lt;CaseStageDesc&amp;gt;תיק אלקטרוני&amp;lt;/CaseStageDesc&amp;gt;_x000d__x000a_        &amp;lt;CaseNextDeterminingTask&amp;gt;34&amp;lt;/CaseNextDeterminingTask&amp;gt;_x000d__x000a_        &amp;lt;CaseOpenDate&amp;gt;2021-03-01T14:47:00+02:00&amp;lt;/CaseOpenDate&amp;gt;_x000d__x000a_        &amp;lt;PleaTypeID&amp;gt;6&amp;lt;/PleaTypeID&amp;gt;_x000d__x000a_        &amp;lt;CourtLevelID&amp;gt;2&amp;lt;/CourtLevelID&amp;gt;_x000d__x000a_        &amp;lt;CourtLevelCaseTypeInterestID&amp;gt;1153&amp;lt;/CourtLevelCaseTypeInterestID&amp;gt;_x000d__x000a_        &amp;lt;CaseJudgeFirstName&amp;gt;אביגדור&amp;lt;/CaseJudgeFirstName&amp;gt;_x000d__x000a_        &amp;lt;CaseJudgeLastName&amp;gt;דורות&amp;lt;/CaseJudgeLastName&amp;gt;_x000d__x000a_        &amp;lt;JudicalPersonID&amp;gt;055121115@GOV.IL&amp;lt;/JudicalPersonID&amp;gt;_x000d__x000a_        &amp;lt;IsJudicalPanel&amp;gt;false&amp;lt;/IsJudicalPanel&amp;gt;_x000d__x000a_        &amp;lt;CourtDisplayName&amp;gt;בית המשפט המחוזי בירושלים בשבתו כבית-משפט לעניינים מנהליים&amp;lt;/CourtDisplayName&amp;gt;_x000d__x000a_        &amp;lt;IsAllStartDataCollected&amp;gt;true&amp;lt;/IsAllStartDataCollected&amp;gt;_x000d__x000a_        &amp;lt;CaseDesc&amp;gt;בארון&amp;lt;/CaseDesc&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14"/>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5159702&amp;lt;/DecisionID&amp;gt;_x000d__x000a_        &amp;lt;DecisionName&amp;gt;פסק דין  שניתנה ע&amp;quot;י  אביגדור דורות&amp;lt;/DecisionName&amp;gt;_x000d__x000a_        &amp;lt;DecisionStatusID&amp;gt;1&amp;lt;/DecisionStatusID&amp;gt;_x000d__x000a_        &amp;lt;DecisionStatusChangeDate&amp;gt;2024-09-26T12:49:34.84+03:00&amp;lt;/DecisionStatusChangeDate&amp;gt;_x000d__x000a_        &amp;lt;DecisionSignatureDate&amp;gt;2024-09-26T08:36:19.34+03:00&amp;lt;/DecisionSignatureDate&amp;gt;_x000d__x000a_        &amp;lt;DecisionSignatureUserID&amp;gt;055121115@GOV.IL&amp;lt;/DecisionSignatureUserID&amp;gt;_x000d__x000a_        &amp;lt;DecisionCreateDate&amp;gt;2024-09-26T08:41:39.437+03:00&amp;lt;/DecisionCreateDate&amp;gt;_x000d__x000a_        &amp;lt;DecisionChangeDate&amp;gt;2024-09-26T12:49:34.883+03:00&amp;lt;/DecisionChangeDate&amp;gt;_x000d__x000a_        &amp;lt;DecisionChangeUserID&amp;gt;059767848@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56328587&amp;lt;/DocumentID&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5121115@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211773841@GOV.IL&amp;lt;/DecisionCreationUserID&amp;gt;_x000d__x000a_        &amp;lt;DecisionDisplayName&amp;gt;פסק דין  שניתנה ע&amp;quot;י  אביגדור דורות&amp;lt;/DecisionDisplayName&amp;gt;_x000d__x000a_        &amp;lt;IsScanned&amp;gt;false&amp;lt;/IsScanned&amp;gt;_x000d__x000a_        &amp;lt;DecisionSignatureUserName&amp;gt;אביגדור דורות&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10&amp;lt;/DecisionNumberInCase&amp;gt;_x000d__x000a_      &amp;lt;/dt_Decision&amp;gt;_x000d__x000a_      &amp;lt;dt_DecisionCase diffgr:id=&amp;quot;dt_DecisionCase1&amp;quot; msdata:rowOrder=&amp;quot;0&amp;quot;&amp;gt;_x000d__x000a_        &amp;lt;DecisionID&amp;gt;155159702&amp;lt;/DecisionID&amp;gt;_x000d__x000a_        &amp;lt;CaseID&amp;gt;78148018&amp;lt;/CaseID&amp;gt;_x000d__x000a_        &amp;lt;IsOriginal&amp;gt;true&amp;lt;/IsOriginal&amp;gt;_x000d__x000a_        &amp;lt;IsDeleted&amp;gt;false&amp;lt;/IsDeleted&amp;gt;_x000d__x000a_        &amp;lt;CaseName&amp;gt;ידיד ואח&amp;#39; נ&amp;#39; פקיד שומה ירושלים סניף כנפי נשרים&amp;lt;/CaseName&amp;gt;_x000d__x000a_        &amp;lt;CaseDisplayIdentifier&amp;gt;2454-03-21 ע&amp;quot;מ&amp;lt;/CaseDisplayIdentifier&amp;gt;_x000d__x000a_      &amp;lt;/dt_DecisionCase&amp;gt;_x000d__x000a_    &amp;lt;/DecisionDS&amp;gt;_x000d__x000a_  &amp;lt;/diffgr:diffgram&amp;gt;_x000d__x000a_&amp;lt;/DecisionDS&amp;gt;"/>
    <w:docVar w:name="DecisionID" w:val="155159702"/>
    <w:docVar w:name="WordClientAssemblyName" w:val="NGCS.Decision.ClientWordBL"/>
    <w:docVar w:name="WordClientClassName" w:val="NGCS.Decision.ClientWordBL.DecisionClient"/>
  </w:docVars>
  <w:rsids>
    <w:rsidRoot w:val="00694556"/>
    <w:rsid w:val="00005C8B"/>
    <w:rsid w:val="00016C35"/>
    <w:rsid w:val="000564AB"/>
    <w:rsid w:val="00060C9D"/>
    <w:rsid w:val="000867FC"/>
    <w:rsid w:val="000B3627"/>
    <w:rsid w:val="0014234E"/>
    <w:rsid w:val="00145E47"/>
    <w:rsid w:val="0017354B"/>
    <w:rsid w:val="00185DB8"/>
    <w:rsid w:val="001B51E5"/>
    <w:rsid w:val="001C4003"/>
    <w:rsid w:val="001F5730"/>
    <w:rsid w:val="002C070D"/>
    <w:rsid w:val="002D33A5"/>
    <w:rsid w:val="002E41DA"/>
    <w:rsid w:val="002E475F"/>
    <w:rsid w:val="0031017B"/>
    <w:rsid w:val="00382EEA"/>
    <w:rsid w:val="00392C40"/>
    <w:rsid w:val="003944DB"/>
    <w:rsid w:val="00480976"/>
    <w:rsid w:val="004A3E59"/>
    <w:rsid w:val="004E306B"/>
    <w:rsid w:val="004E6E3C"/>
    <w:rsid w:val="00547DB7"/>
    <w:rsid w:val="00622BAA"/>
    <w:rsid w:val="00625C89"/>
    <w:rsid w:val="0063601F"/>
    <w:rsid w:val="006371E3"/>
    <w:rsid w:val="00671BD5"/>
    <w:rsid w:val="006805C1"/>
    <w:rsid w:val="00694556"/>
    <w:rsid w:val="006B0EBD"/>
    <w:rsid w:val="006B23BF"/>
    <w:rsid w:val="006E1A53"/>
    <w:rsid w:val="007056AA"/>
    <w:rsid w:val="00762565"/>
    <w:rsid w:val="007A24FE"/>
    <w:rsid w:val="007B1AE7"/>
    <w:rsid w:val="007F1A38"/>
    <w:rsid w:val="00820005"/>
    <w:rsid w:val="00846D27"/>
    <w:rsid w:val="00857CE3"/>
    <w:rsid w:val="008D146D"/>
    <w:rsid w:val="0090091B"/>
    <w:rsid w:val="00903896"/>
    <w:rsid w:val="00910591"/>
    <w:rsid w:val="0091426B"/>
    <w:rsid w:val="00953746"/>
    <w:rsid w:val="00981534"/>
    <w:rsid w:val="00986101"/>
    <w:rsid w:val="00A05FB0"/>
    <w:rsid w:val="00A16433"/>
    <w:rsid w:val="00A211B1"/>
    <w:rsid w:val="00A94BC6"/>
    <w:rsid w:val="00AD7CA5"/>
    <w:rsid w:val="00AF1ED6"/>
    <w:rsid w:val="00B06F02"/>
    <w:rsid w:val="00B602F9"/>
    <w:rsid w:val="00B80CBD"/>
    <w:rsid w:val="00B973E7"/>
    <w:rsid w:val="00BB183F"/>
    <w:rsid w:val="00BB704A"/>
    <w:rsid w:val="00C10305"/>
    <w:rsid w:val="00C467C3"/>
    <w:rsid w:val="00C5440D"/>
    <w:rsid w:val="00CC7B66"/>
    <w:rsid w:val="00D53924"/>
    <w:rsid w:val="00D95835"/>
    <w:rsid w:val="00D96D8C"/>
    <w:rsid w:val="00D9704F"/>
    <w:rsid w:val="00DD1523"/>
    <w:rsid w:val="00E06A14"/>
    <w:rsid w:val="00E54642"/>
    <w:rsid w:val="00E814B4"/>
    <w:rsid w:val="00E97908"/>
    <w:rsid w:val="00F64BC8"/>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370615"/>
  <w15:docId w15:val="{BDBAB6AB-66EB-45E6-BE20-45E21809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986101"/>
    <w:rPr>
      <w:color w:val="808080"/>
    </w:rPr>
  </w:style>
  <w:style w:type="character" w:styleId="Hyperlink">
    <w:name w:val="Hyperlink"/>
    <w:basedOn w:val="a0"/>
    <w:uiPriority w:val="99"/>
    <w:semiHidden/>
    <w:unhideWhenUsed/>
    <w:rsid w:val="00BB183F"/>
    <w:rPr>
      <w:color w:val="0000FF"/>
      <w:u w:val="single"/>
    </w:rPr>
  </w:style>
  <w:style w:type="paragraph" w:styleId="NormalWeb">
    <w:name w:val="Normal (Web)"/>
    <w:basedOn w:val="a"/>
    <w:uiPriority w:val="99"/>
    <w:semiHidden/>
    <w:unhideWhenUsed/>
    <w:rsid w:val="00BB183F"/>
    <w:pPr>
      <w:bidi w:val="0"/>
      <w:spacing w:before="100" w:beforeAutospacing="1" w:after="100" w:afterAutospacing="1"/>
    </w:pPr>
    <w:rPr>
      <w:rFonts w:cs="Times New Roman"/>
      <w:noProof w:val="0"/>
    </w:rPr>
  </w:style>
  <w:style w:type="paragraph" w:styleId="ad">
    <w:name w:val="List Paragraph"/>
    <w:basedOn w:val="a"/>
    <w:uiPriority w:val="34"/>
    <w:qFormat/>
    <w:rsid w:val="00BB183F"/>
    <w:pPr>
      <w:ind w:left="720"/>
      <w:contextualSpacing/>
    </w:pPr>
  </w:style>
  <w:style w:type="paragraph" w:customStyle="1" w:styleId="p02">
    <w:name w:val="p02"/>
    <w:basedOn w:val="a"/>
    <w:uiPriority w:val="99"/>
    <w:semiHidden/>
    <w:rsid w:val="00BB183F"/>
    <w:pPr>
      <w:bidi w:val="0"/>
      <w:spacing w:before="100" w:beforeAutospacing="1" w:after="100" w:afterAutospacing="1"/>
    </w:pPr>
    <w:rPr>
      <w:rFonts w:cs="Times New Roman"/>
      <w:noProof w:val="0"/>
    </w:rPr>
  </w:style>
  <w:style w:type="paragraph" w:customStyle="1" w:styleId="p33">
    <w:name w:val="p33"/>
    <w:basedOn w:val="a"/>
    <w:uiPriority w:val="99"/>
    <w:semiHidden/>
    <w:rsid w:val="00BB183F"/>
    <w:pPr>
      <w:bidi w:val="0"/>
      <w:spacing w:before="100" w:beforeAutospacing="1" w:after="100" w:afterAutospacing="1"/>
    </w:pPr>
    <w:rPr>
      <w:rFonts w:cs="Times New Roman"/>
      <w:noProof w:val="0"/>
    </w:rPr>
  </w:style>
  <w:style w:type="character" w:customStyle="1" w:styleId="default">
    <w:name w:val="default"/>
    <w:basedOn w:val="a0"/>
    <w:rsid w:val="00BB183F"/>
  </w:style>
  <w:style w:type="character" w:styleId="ae">
    <w:name w:val="Emphasis"/>
    <w:basedOn w:val="a0"/>
    <w:qFormat/>
    <w:rsid w:val="00C544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843659">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527256212">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vo.co.il/case/27631938"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nevo.co.il/law/84255/191" TargetMode="External"/><Relationship Id="rId17" Type="http://schemas.openxmlformats.org/officeDocument/2006/relationships/image" Target="media/image1.jp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nevo.co.il/case/27068187"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nevo.co.il.eu1.proxy.openathens.net/law/84255/85.d.1.b"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evo.co.il/case/17917571" TargetMode="External"/><Relationship Id="rId23" Type="http://schemas.openxmlformats.org/officeDocument/2006/relationships/footer" Target="footer3.xml"/><Relationship Id="rId10" Type="http://schemas.openxmlformats.org/officeDocument/2006/relationships/hyperlink" Target="http://www.nevo.co.il.eu1.proxy.openathens.net/case/20662319"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nevo.co.il.eu1.proxy.openathens.net/safrut/bookgroup/1229" TargetMode="External"/><Relationship Id="rId14" Type="http://schemas.openxmlformats.org/officeDocument/2006/relationships/hyperlink" Target="http://www.nevo.co.il/case/5748556"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ecisionTemplateDS>
  <dt_Decision>
    <DecisionID>0</DecisionID>
    <CaseID>78148018</CaseID>
    <CaseJudicialPersonPresentationDS>
      <CaseJudicalPersonActive>
        <CaseID>78148018</CaseID>
        <JudicialPersonID>055121115@GOV.IL</JudicialPersonID>
        <JudicialPersonTypeID>1</JudicialPersonTypeID>
        <JudicialTypeID>1</JudicialTypeID>
        <IsChairman>false</IsChairman>
        <TreatmentStartDate>2021-05-24T17:24:54.02+03:00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iesSelectionDS>
      <CaseParties>
        <PartyTypeName>צד</PartyTypeName>
        <ProceedingType>כתב טענות עיקרי</ProceedingType>
        <PleaName>הודעת ערעור</PleaName>
        <PartyBelonging>צד א'</PartyBelonging>
        <RoleName>מערער 1</RoleName>
        <IsSubProceeding>FALSE</IsSubProceeding>
        <FullName>יעקב ידיד</FullName>
        <FirstName>יעקב</FirstName>
        <LastName>ידיד</LastName>
        <PartyPropertyName/>
        <AuthenticationTypeAndNumber>ת"ז 000351023</AuthenticationTypeAndNumber>
        <RepresentatedOrRepresentativesNames>לירן זילברמן</RepresentatedOrRepresentativesNames>
        <RepresentatedOrRepresentativesCount>1</RepresentatedOrRepresentativesCount>
        <InvitedBy/>
        <CaseID>78148018</CaseID>
        <CaseJudicialPersonPresentationDS>
          <CaseJudicalPersonActive>
            <CaseID>78148018</CaseID>
            <JudicialPersonID>055121115@GOV.IL</JudicialPersonID>
            <JudicialPersonTypeID>1</JudicialPersonTypeID>
            <JudicialTypeID>1</JudicialTypeID>
            <IsChairman>false</IsChairman>
            <TreatmentStartDate>2021-05-24T17:24:54.02+03:00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223470572</CasePartyID>
        <PartyTypeID>1</PartyTypeID>
        <ActivityStatusID>1</ActivityStatusID>
        <PartyAliasID>5</PartyAliasID>
        <PartyAliasName>מערער</PartyAliasName>
        <OrdinalNumber>1</OrdinalNumber>
        <LegalEntityID>46188810</LegalEntityID>
        <CaseLegalEntityID>114427385</CaseLegalEntityID>
        <AuthenticationTypeID>1</AuthenticationTypeID>
        <AuthenticationTypeName>ת"ז</AuthenticationTypeName>
        <LegalEntityNumber>000351023</LegalEntityNumber>
        <IsMainPartyType>true</IsMainPartyType>
        <CaseDisplayIdentifier>2454-03-21</CaseDisplayIdentifier>
        <CaseTypeID>10113</CaseTypeID>
        <CaseTypeName>ערעור מסים (ע"מ)</CaseTypeName>
        <CaseName>ידיד ואח' נ' פקיד שומה ירושלים סניף כנפי נשרים</CaseName>
        <FullAddress/>
        <MotionID>0</MotionID>
        <CasePleaID>0</CasePleaID>
        <FatherName>יצחק</FatherName>
        <LinkedCaseID>0</LinkedCaseID>
        <PartyID>1</PartyID>
        <CasePartyCategoryID>2</CasePartyCategoryID>
        <PleaTypeID>6</PleaTypeID>
        <GroupPartyAlias>מערערים</GroupPartyAlias>
        <IsConverted>false</IsConverted>
        <LegalEntityRegisteredNameID>2145859</LegalEntityRegisteredNameID>
        <LegalEntityNameID>91024902</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יעקב ידיד</PublicationProhibitedFullName>
      </CaseParties>
      <CaseParties>
        <PartyTypeName>צד</PartyTypeName>
        <ProceedingType>כתב טענות עיקרי</ProceedingType>
        <PleaName>הודעת ערעור</PleaName>
        <PartyBelonging>צד א'</PartyBelonging>
        <RoleName>מערער 1</RoleName>
        <IsSubProceeding>FALSE</IsSubProceeding>
        <FullName>אליהו ידיד</FullName>
        <FirstName>אליהו</FirstName>
        <LastName>ידיד</LastName>
        <PartyPropertyName/>
        <AuthenticationTypeAndNumber>ת"ז 000351031</AuthenticationTypeAndNumber>
        <RepresentatedOrRepresentativesNames>לירן זילברמן</RepresentatedOrRepresentativesNames>
        <RepresentatedOrRepresentativesCount>1</RepresentatedOrRepresentativesCount>
        <InvitedBy/>
        <CaseID>78148018</CaseID>
        <CaseJudicialPersonPresentationDS>
          <CaseJudicalPersonActive>
            <CaseID>78148018</CaseID>
            <JudicialPersonID>055121115@GOV.IL</JudicialPersonID>
            <JudicialPersonTypeID>1</JudicialPersonTypeID>
            <JudicialTypeID>1</JudicialTypeID>
            <IsChairman>false</IsChairman>
            <TreatmentStartDate>2021-05-24T17:24:54.02+03:00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223470573</CasePartyID>
        <PartyTypeID>1</PartyTypeID>
        <ActivityStatusID>1</ActivityStatusID>
        <PartyAliasID>5</PartyAliasID>
        <PartyAliasName>מערער</PartyAliasName>
        <OrdinalNumber>1</OrdinalNumber>
        <LegalEntityID>46188811</LegalEntityID>
        <CaseLegalEntityID>114427386</CaseLegalEntityID>
        <AuthenticationTypeID>1</AuthenticationTypeID>
        <AuthenticationTypeName>ת"ז</AuthenticationTypeName>
        <LegalEntityNumber>000351031</LegalEntityNumber>
        <IsMainPartyType>true</IsMainPartyType>
        <CaseDisplayIdentifier>2454-03-21</CaseDisplayIdentifier>
        <CaseTypeID>10113</CaseTypeID>
        <CaseTypeName>ערעור מסים (ע"מ)</CaseTypeName>
        <CaseName>ידיד ואח' נ' פקיד שומה ירושלים סניף כנפי נשרים</CaseName>
        <FullAddress/>
        <MotionID>0</MotionID>
        <CasePleaID>0</CasePleaID>
        <FatherName>יצחק שמואל</FatherName>
        <LinkedCaseID>0</LinkedCaseID>
        <PartyID>1</PartyID>
        <CasePartyCategoryID>2</CasePartyCategoryID>
        <PleaTypeID>6</PleaTypeID>
        <GroupPartyAlias>מערערים</GroupPartyAlias>
        <IsConverted>false</IsConverted>
        <LegalEntityRegisteredNameID>9435942</LegalEntityRegisteredNameID>
        <LegalEntityNameID>91024903</LegalEntityNameID>
        <RepresentatedNamesOfAssistant/>
        <LegalEntityTypeID>1</LegalEntityTypeID>
        <IsVerdictExists>false</IsVerdictExists>
        <IsAsirAzir>false</IsAsirAzir>
        <MainAndSecSpec/>
        <IsPublicationProhibited>false</IsPublicationProhibited>
        <PublicationProhibitedFullName>אליהו ידיד</PublicationProhibitedFullName>
      </CaseParties>
      <CaseParties>
        <PartyTypeName>בא כוח</PartyTypeName>
        <ProceedingType>כתב טענות עיקרי</ProceedingType>
        <PleaName>הודעת ערעור</PleaName>
        <PartyBelonging> - </PartyBelonging>
        <RoleName>בא כוח מערערים</RoleName>
        <IsSubProceeding>FALSE</IsSubProceeding>
        <FullName>לירן זילברמן</FullName>
        <FirstName>לירן</FirstName>
        <LastName>זילברמן</LastName>
        <PartyPropertyName/>
        <AuthenticationTypeAndNumber>מ.ר. 59568</AuthenticationTypeAndNumber>
        <RepresentatedOrRepresentativesNames>אליהו ידיד, יעקב ידיד</RepresentatedOrRepresentativesNames>
        <RepresentatedOrRepresentativesCount>2</RepresentatedOrRepresentativesCount>
        <InvitedBy/>
        <CaseID>78148018</CaseID>
        <CaseJudicialPersonPresentationDS>
          <CaseJudicalPersonActive>
            <CaseID>78148018</CaseID>
            <JudicialPersonID>055121115@GOV.IL</JudicialPersonID>
            <JudicialPersonTypeID>1</JudicialPersonTypeID>
            <JudicialTypeID>1</JudicialTypeID>
            <IsChairman>false</IsChairman>
            <TreatmentStartDate>2021-05-24T17:24:54.02+03:00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223470574</CasePartyID>
        <PartyTypeID>2</PartyTypeID>
        <ActivityStatusID>1</ActivityStatusID>
        <PartyAliasID>24</PartyAliasID>
        <PartyAliasName>בא כוח מערערים</PartyAliasName>
        <OrdinalNumber>1</OrdinalNumber>
        <LegalEntityID>70838806</LegalEntityID>
        <CaseLegalEntityID>114427387</CaseLegalEntityID>
        <AuthenticationTypeID>4</AuthenticationTypeID>
        <AuthenticationTypeName>מ.ר.</AuthenticationTypeName>
        <LegalEntityNumber>59568</LegalEntityNumber>
        <IsMainPartyType>true</IsMainPartyType>
        <CaseDisplayIdentifier>2454-03-21</CaseDisplayIdentifier>
        <CaseTypeID>10113</CaseTypeID>
        <CaseTypeName>ערעור מסים (ע"מ)</CaseTypeName>
        <CaseName>ידיד ואח' נ' פקיד שומה ירושלים סניף כנפי נשרים</CaseName>
        <FullAddress>אריאל שרון 4 גבעתיים </FullAddress>
        <EmailAddress>liran.zilberman@gmail.com</EmailAddress>
        <MotionID>0</MotionID>
        <CasePleaID>0</CasePleaID>
        <LinkedCaseID>0</LinkedCaseID>
        <PartyID>1</PartyID>
        <CasePartyCategoryID>2</CasePartyCategoryID>
        <LegalEntityAddressID>81532397</LegalEntityAddressID>
        <LegalEntityEmailAddressID>67989048</LegalEntityEmailAddressID>
        <PleaTypeID>6</PleaTypeID>
        <LawyerOfficeName>משרד עו"ד לירן זילברמן</LawyerOfficeName>
        <LawyerOfficeID>70838807</LawyerOfficeID>
        <GroupPartyAlias/>
        <IsConverted>false</IsConverted>
        <LegalEntityNameID>73564195</LegalEntityNameID>
        <RepresentatedNamesOfAssistant/>
        <LegalEntityTypeID>4</LegalEntityTypeID>
        <IsVerdictExists>false</IsVerdictExists>
        <IsAsirAzir>false</IsAsirAzir>
        <MainAndSecSpec/>
        <IsPublicationProhibited>false</IsPublicationProhibited>
        <PublicationProhibitedFullName>לירן זילברמן</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פקיד שומה ירושלים סניף כנפי נשרים</FullName>
        <LastName>פקיד שומה ירושלים סניף כנפי נשרים</LastName>
        <PartyPropertyName/>
        <AuthenticationTypeAndNumber>גופים על פי דין 513436199</AuthenticationTypeAndNumber>
        <RepresentatedOrRepresentativesNames>קרן יוסט</RepresentatedOrRepresentativesNames>
        <RepresentatedOrRepresentativesCount>1</RepresentatedOrRepresentativesCount>
        <InvitedBy/>
        <CaseID>78148018</CaseID>
        <CaseJudicialPersonPresentationDS>
          <CaseJudicalPersonActive>
            <CaseID>78148018</CaseID>
            <JudicialPersonID>055121115@GOV.IL</JudicialPersonID>
            <JudicialPersonTypeID>1</JudicialPersonTypeID>
            <JudicialTypeID>1</JudicialTypeID>
            <IsChairman>false</IsChairman>
            <TreatmentStartDate>2021-05-24T17:24:54.02+03:00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223470575</CasePartyID>
        <PartyTypeID>1</PartyTypeID>
        <ActivityStatusID>1</ActivityStatusID>
        <PartyAliasID>4</PartyAliasID>
        <PartyAliasName>משיב</PartyAliasName>
        <OrdinalNumber>1</OrdinalNumber>
        <LegalEntityID>15866547</LegalEntityID>
        <CaseLegalEntityID>114427388</CaseLegalEntityID>
        <AuthenticationTypeID>17</AuthenticationTypeID>
        <AuthenticationTypeName>גופים על פי דין</AuthenticationTypeName>
        <LegalEntityNumber>513436199</LegalEntityNumber>
        <IsMainPartyType>true</IsMainPartyType>
        <CaseDisplayIdentifier>2454-03-21</CaseDisplayIdentifier>
        <CaseTypeID>10113</CaseTypeID>
        <CaseTypeName>ערעור מסים (ע"מ)</CaseTypeName>
        <CaseName>ידיד ואח' נ' פקיד שומה ירושלים סניף כנפי נשרים</CaseName>
        <FullAddress>כנפי נשרים 66 ירושלים גבעת שאול</FullAddress>
        <MotionID>0</MotionID>
        <CasePleaID>0</CasePleaID>
        <LinkedCaseID>0</LinkedCaseID>
        <PartyID>2</PartyID>
        <CasePartyCategoryID>2</CasePartyCategoryID>
        <LegalEntityAddressID>16129963</LegalEntityAddressID>
        <PleaTypeID>6</PleaTypeID>
        <GroupPartyAlias>משיבים</GroupPartyAlias>
        <IsConverted>false</IsConverted>
        <LegalEntityRegisteredNameID>1721318</LegalEntityRegisteredNameID>
        <RepresentatedNamesOfAssistant/>
        <LegalEntityTypeID>3</LegalEntityTypeID>
        <IsVerdictExists>false</IsVerdictExists>
        <IsAsirAzir>false</IsAsirAzir>
        <MainAndSecSpec/>
        <IsPublicationProhibited>false</IsPublicationProhibited>
        <PublicationProhibitedFullName>פקיד שומה ירושלים סניף כנפי נשרים</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קרן יוסט</FullName>
        <FirstName>קרן</FirstName>
        <LastName>יוסט</LastName>
        <PartyPropertyName/>
        <AuthenticationTypeAndNumber>מ.ר. 23388</AuthenticationTypeAndNumber>
        <RepresentatedOrRepresentativesNames xml:space="preserve"> </RepresentatedOrRepresentativesNames>
        <RepresentatedOrRepresentativesCount>1</RepresentatedOrRepresentativesCount>
        <InvitedBy/>
        <CaseID>78148018</CaseID>
        <CaseJudicialPersonPresentationDS>
          <CaseJudicalPersonActive>
            <CaseID>78148018</CaseID>
            <JudicialPersonID>055121115@GOV.IL</JudicialPersonID>
            <JudicialPersonTypeID>1</JudicialPersonTypeID>
            <JudicialTypeID>1</JudicialTypeID>
            <IsChairman>false</IsChairman>
            <TreatmentStartDate>2021-05-24T17:24:54.02+03:00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260961939</CasePartyID>
        <PartyTypeID>2</PartyTypeID>
        <ActivityStatusID>1</ActivityStatusID>
        <PartyAliasID>23</PartyAliasID>
        <PartyAliasName>בא כוח משיבים</PartyAliasName>
        <OrdinalNumber>1</OrdinalNumber>
        <LegalEntityID>401563</LegalEntityID>
        <CaseLegalEntityID>126068498</CaseLegalEntityID>
        <AuthenticationTypeID>4</AuthenticationTypeID>
        <AuthenticationTypeName>מ.ר.</AuthenticationTypeName>
        <LegalEntityNumber>23388</LegalEntityNumber>
        <IsMainPartyType>true</IsMainPartyType>
        <CaseDisplayIdentifier>2454-03-21</CaseDisplayIdentifier>
        <CaseTypeID>10113</CaseTypeID>
        <CaseTypeName>ערעור מסים (ע"מ)</CaseTypeName>
        <CaseName>ידיד ואח' נ' פקיד שומה ירושלים סניף כנפי נשרים</CaseName>
        <FullAddress>מח"ל 7 ירושלים </FullAddress>
        <MotionID>0</MotionID>
        <CasePleaID>0</CasePleaID>
        <LinkedCaseID>0</LinkedCaseID>
        <PartyID>2</PartyID>
        <CasePartyCategoryID>2</CasePartyCategoryID>
        <LegalEntityAddressID>58125595</LegalEntityAddressID>
        <PleaTypeID>6</PleaTypeID>
        <LawyerOfficeName>פרקליטות מחוז ירושלים - אזרחי</LawyerOfficeName>
        <LawyerOfficeID>12740882</LawyerOfficeID>
        <GroupPartyAlias/>
        <IsConverted>false</IsConverted>
        <LegalEntityNameID>95420124</LegalEntityNameID>
        <RepresentatedNamesOfAssistant/>
        <LegalEntityTypeID>4</LegalEntityTypeID>
        <IsVerdictExists>false</IsVerdictExists>
        <IsAsirAzir>false</IsAsirAzir>
        <MainAndSecSpec/>
        <IsPublicationProhibited>false</IsPublicationProhibited>
        <PublicationProhibitedFullName>קרן יוסט</PublicationProhibitedFullName>
      </CaseParties>
    </CasePartiesSelectionDS>
    <DecisionName>פסק דין  שניתנה ע"י  אביגדור דורות</DecisionName>
    <CourtDisplayName>בית המשפט המחוזי בירושלים בשבתו כבית-משפט לעניינים מנהליים</CourtDisplayName>
    <IsCaseJudgePanel>false</IsCaseJudgePanel>
    <DecisionSignatureDate>2024-09-26T08:36:19.3408319+03:00</DecisionSignatureDate>
    <OpenCaseDate>2021-03-01T14:47:00+02:00</OpenCaseDate>
    <CaseFeeSum>0.000</CaseFeeSum>
    <DecisionTypeID>2</DecisionTypeID>
    <DecisionSignatureUserName>אביגדור דורות</DecisionSignatureUserName>
    <DecisionSignatureDateHebrew>2024-09-26T08:36:19.3408319+03:00</DecisionSignatureDateHebrew>
    <DecisionWriterID>055121115@GOV.IL</DecisionWriterID>
    <CourtAddress>רח'  צאלח-א-דין  40, ירושלים 9711060</CourtAddress>
    <IsAutoTextInCaseExist>false</IsAutoTextInCaseExist>
    <DecisionSignatureRoleName>שופט</DecisionSignatureRoleName>
    <DecisionSignatureUserTitleName>שופט</DecisionSignatureUserTitleName>
    <CaseName>ידיד ואח' נ' פקיד שומה ירושלים סניף כנפי נשרים</CaseName>
    <DecisionNumberInCase>10</DecisionNumberInCase>
  </dt_Decision>
  <dt_DecisionCase>
    <DecisionID>0</DecisionID>
    <CaseID>78148018</CaseID>
    <CaseJudicialPersonPresentationDS>
      <CaseJudicalPersonActive>
        <CaseID>78148018</CaseID>
        <JudicialPersonID>055121115@GOV.IL</JudicialPersonID>
        <JudicialPersonTypeID>1</JudicialPersonTypeID>
        <JudicialTypeID>1</JudicialTypeID>
        <IsChairman>false</IsChairman>
        <TreatmentStartDate>2021-05-24T17:24:54.02+03:00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iesSelectionDS>
      <CaseParties>
        <PartyTypeName>צד</PartyTypeName>
        <ProceedingType>כתב טענות עיקרי</ProceedingType>
        <PleaName>הודעת ערעור</PleaName>
        <PartyBelonging>צד א'</PartyBelonging>
        <RoleName>מערער 1</RoleName>
        <IsSubProceeding>FALSE</IsSubProceeding>
        <FullName>יעקב ידיד</FullName>
        <FirstName>יעקב</FirstName>
        <LastName>ידיד</LastName>
        <PartyPropertyName/>
        <AuthenticationTypeAndNumber>ת"ז 000351023</AuthenticationTypeAndNumber>
        <RepresentatedOrRepresentativesNames>לירן זילברמן</RepresentatedOrRepresentativesNames>
        <RepresentatedOrRepresentativesCount>1</RepresentatedOrRepresentativesCount>
        <InvitedBy/>
        <CaseID>78148018</CaseID>
        <CaseJudicialPersonPresentationDS>
          <CaseJudicalPersonActive>
            <CaseID>78148018</CaseID>
            <JudicialPersonID>055121115@GOV.IL</JudicialPersonID>
            <JudicialPersonTypeID>1</JudicialPersonTypeID>
            <JudicialTypeID>1</JudicialTypeID>
            <IsChairman>false</IsChairman>
            <TreatmentStartDate>2021-05-24T17:24:54.02+03:00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223470572</CasePartyID>
        <PartyTypeID>1</PartyTypeID>
        <ActivityStatusID>1</ActivityStatusID>
        <PartyAliasID>5</PartyAliasID>
        <PartyAliasName>מערער</PartyAliasName>
        <OrdinalNumber>1</OrdinalNumber>
        <LegalEntityID>46188810</LegalEntityID>
        <CaseLegalEntityID>114427385</CaseLegalEntityID>
        <AuthenticationTypeID>1</AuthenticationTypeID>
        <AuthenticationTypeName>ת"ז</AuthenticationTypeName>
        <LegalEntityNumber>000351023</LegalEntityNumber>
        <IsMainPartyType>true</IsMainPartyType>
        <CaseDisplayIdentifier>2454-03-21</CaseDisplayIdentifier>
        <CaseTypeID>10113</CaseTypeID>
        <CaseTypeName>ערעור מסים (ע"מ)</CaseTypeName>
        <CaseName>ידיד ואח' נ' פקיד שומה ירושלים סניף כנפי נשרים</CaseName>
        <FullAddress/>
        <MotionID>0</MotionID>
        <CasePleaID>0</CasePleaID>
        <FatherName>יצחק</FatherName>
        <LinkedCaseID>0</LinkedCaseID>
        <PartyID>1</PartyID>
        <CasePartyCategoryID>2</CasePartyCategoryID>
        <PleaTypeID>6</PleaTypeID>
        <GroupPartyAlias>מערערים</GroupPartyAlias>
        <IsConverted>false</IsConverted>
        <LegalEntityRegisteredNameID>2145859</LegalEntityRegisteredNameID>
        <LegalEntityNameID>91024902</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יעקב ידיד</PublicationProhibitedFullName>
      </CaseParties>
      <CaseParties>
        <PartyTypeName>צד</PartyTypeName>
        <ProceedingType>כתב טענות עיקרי</ProceedingType>
        <PleaName>הודעת ערעור</PleaName>
        <PartyBelonging>צד א'</PartyBelonging>
        <RoleName>מערער 1</RoleName>
        <IsSubProceeding>FALSE</IsSubProceeding>
        <FullName>אליהו ידיד</FullName>
        <FirstName>אליהו</FirstName>
        <LastName>ידיד</LastName>
        <PartyPropertyName/>
        <AuthenticationTypeAndNumber>ת"ז 000351031</AuthenticationTypeAndNumber>
        <RepresentatedOrRepresentativesNames>לירן זילברמן</RepresentatedOrRepresentativesNames>
        <RepresentatedOrRepresentativesCount>1</RepresentatedOrRepresentativesCount>
        <InvitedBy/>
        <CaseID>78148018</CaseID>
        <CaseJudicialPersonPresentationDS>
          <CaseJudicalPersonActive>
            <CaseID>78148018</CaseID>
            <JudicialPersonID>055121115@GOV.IL</JudicialPersonID>
            <JudicialPersonTypeID>1</JudicialPersonTypeID>
            <JudicialTypeID>1</JudicialTypeID>
            <IsChairman>false</IsChairman>
            <TreatmentStartDate>2021-05-24T17:24:54.02+03:00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223470573</CasePartyID>
        <PartyTypeID>1</PartyTypeID>
        <ActivityStatusID>1</ActivityStatusID>
        <PartyAliasID>5</PartyAliasID>
        <PartyAliasName>מערער</PartyAliasName>
        <OrdinalNumber>1</OrdinalNumber>
        <LegalEntityID>46188811</LegalEntityID>
        <CaseLegalEntityID>114427386</CaseLegalEntityID>
        <AuthenticationTypeID>1</AuthenticationTypeID>
        <AuthenticationTypeName>ת"ז</AuthenticationTypeName>
        <LegalEntityNumber>000351031</LegalEntityNumber>
        <IsMainPartyType>true</IsMainPartyType>
        <CaseDisplayIdentifier>2454-03-21</CaseDisplayIdentifier>
        <CaseTypeID>10113</CaseTypeID>
        <CaseTypeName>ערעור מסים (ע"מ)</CaseTypeName>
        <CaseName>ידיד ואח' נ' פקיד שומה ירושלים סניף כנפי נשרים</CaseName>
        <FullAddress/>
        <MotionID>0</MotionID>
        <CasePleaID>0</CasePleaID>
        <FatherName>יצחק שמואל</FatherName>
        <LinkedCaseID>0</LinkedCaseID>
        <PartyID>1</PartyID>
        <CasePartyCategoryID>2</CasePartyCategoryID>
        <PleaTypeID>6</PleaTypeID>
        <GroupPartyAlias>מערערים</GroupPartyAlias>
        <IsConverted>false</IsConverted>
        <LegalEntityRegisteredNameID>9435942</LegalEntityRegisteredNameID>
        <LegalEntityNameID>91024903</LegalEntityNameID>
        <RepresentatedNamesOfAssistant/>
        <LegalEntityTypeID>1</LegalEntityTypeID>
        <IsVerdictExists>false</IsVerdictExists>
        <IsAsirAzir>false</IsAsirAzir>
        <MainAndSecSpec/>
        <IsPublicationProhibited>false</IsPublicationProhibited>
        <PublicationProhibitedFullName>אליהו ידיד</PublicationProhibitedFullName>
      </CaseParties>
      <CaseParties>
        <PartyTypeName>בא כוח</PartyTypeName>
        <ProceedingType>כתב טענות עיקרי</ProceedingType>
        <PleaName>הודעת ערעור</PleaName>
        <PartyBelonging> - </PartyBelonging>
        <RoleName>בא כוח מערערים</RoleName>
        <IsSubProceeding>FALSE</IsSubProceeding>
        <FullName>לירן זילברמן</FullName>
        <FirstName>לירן</FirstName>
        <LastName>זילברמן</LastName>
        <PartyPropertyName/>
        <AuthenticationTypeAndNumber>מ.ר. 59568</AuthenticationTypeAndNumber>
        <RepresentatedOrRepresentativesNames>אליהו ידיד, יעקב ידיד</RepresentatedOrRepresentativesNames>
        <RepresentatedOrRepresentativesCount>2</RepresentatedOrRepresentativesCount>
        <InvitedBy/>
        <CaseID>78148018</CaseID>
        <CaseJudicialPersonPresentationDS>
          <CaseJudicalPersonActive>
            <CaseID>78148018</CaseID>
            <JudicialPersonID>055121115@GOV.IL</JudicialPersonID>
            <JudicialPersonTypeID>1</JudicialPersonTypeID>
            <JudicialTypeID>1</JudicialTypeID>
            <IsChairman>false</IsChairman>
            <TreatmentStartDate>2021-05-24T17:24:54.02+03:00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223470574</CasePartyID>
        <PartyTypeID>2</PartyTypeID>
        <ActivityStatusID>1</ActivityStatusID>
        <PartyAliasID>24</PartyAliasID>
        <PartyAliasName>בא כוח מערערים</PartyAliasName>
        <OrdinalNumber>1</OrdinalNumber>
        <LegalEntityID>70838806</LegalEntityID>
        <CaseLegalEntityID>114427387</CaseLegalEntityID>
        <AuthenticationTypeID>4</AuthenticationTypeID>
        <AuthenticationTypeName>מ.ר.</AuthenticationTypeName>
        <LegalEntityNumber>59568</LegalEntityNumber>
        <IsMainPartyType>true</IsMainPartyType>
        <CaseDisplayIdentifier>2454-03-21</CaseDisplayIdentifier>
        <CaseTypeID>10113</CaseTypeID>
        <CaseTypeName>ערעור מסים (ע"מ)</CaseTypeName>
        <CaseName>ידיד ואח' נ' פקיד שומה ירושלים סניף כנפי נשרים</CaseName>
        <FullAddress>אריאל שרון 4 גבעתיים </FullAddress>
        <EmailAddress>liran.zilberman@gmail.com</EmailAddress>
        <MotionID>0</MotionID>
        <CasePleaID>0</CasePleaID>
        <LinkedCaseID>0</LinkedCaseID>
        <PartyID>1</PartyID>
        <CasePartyCategoryID>2</CasePartyCategoryID>
        <LegalEntityAddressID>81532397</LegalEntityAddressID>
        <LegalEntityEmailAddressID>67989048</LegalEntityEmailAddressID>
        <PleaTypeID>6</PleaTypeID>
        <LawyerOfficeName>משרד עו"ד לירן זילברמן</LawyerOfficeName>
        <LawyerOfficeID>70838807</LawyerOfficeID>
        <GroupPartyAlias/>
        <IsConverted>false</IsConverted>
        <LegalEntityNameID>73564195</LegalEntityNameID>
        <RepresentatedNamesOfAssistant/>
        <LegalEntityTypeID>4</LegalEntityTypeID>
        <IsVerdictExists>false</IsVerdictExists>
        <IsAsirAzir>false</IsAsirAzir>
        <MainAndSecSpec/>
        <IsPublicationProhibited>false</IsPublicationProhibited>
        <PublicationProhibitedFullName>לירן זילברמן</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פקיד שומה ירושלים סניף כנפי נשרים</FullName>
        <LastName>פקיד שומה ירושלים סניף כנפי נשרים</LastName>
        <PartyPropertyName/>
        <AuthenticationTypeAndNumber>גופים על פי דין 513436199</AuthenticationTypeAndNumber>
        <RepresentatedOrRepresentativesNames>קרן יוסט</RepresentatedOrRepresentativesNames>
        <RepresentatedOrRepresentativesCount>1</RepresentatedOrRepresentativesCount>
        <InvitedBy/>
        <CaseID>78148018</CaseID>
        <CaseJudicialPersonPresentationDS>
          <CaseJudicalPersonActive>
            <CaseID>78148018</CaseID>
            <JudicialPersonID>055121115@GOV.IL</JudicialPersonID>
            <JudicialPersonTypeID>1</JudicialPersonTypeID>
            <JudicialTypeID>1</JudicialTypeID>
            <IsChairman>false</IsChairman>
            <TreatmentStartDate>2021-05-24T17:24:54.02+03:00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223470575</CasePartyID>
        <PartyTypeID>1</PartyTypeID>
        <ActivityStatusID>1</ActivityStatusID>
        <PartyAliasID>4</PartyAliasID>
        <PartyAliasName>משיב</PartyAliasName>
        <OrdinalNumber>1</OrdinalNumber>
        <LegalEntityID>15866547</LegalEntityID>
        <CaseLegalEntityID>114427388</CaseLegalEntityID>
        <AuthenticationTypeID>17</AuthenticationTypeID>
        <AuthenticationTypeName>גופים על פי דין</AuthenticationTypeName>
        <LegalEntityNumber>513436199</LegalEntityNumber>
        <IsMainPartyType>true</IsMainPartyType>
        <CaseDisplayIdentifier>2454-03-21</CaseDisplayIdentifier>
        <CaseTypeID>10113</CaseTypeID>
        <CaseTypeName>ערעור מסים (ע"מ)</CaseTypeName>
        <CaseName>ידיד ואח' נ' פקיד שומה ירושלים סניף כנפי נשרים</CaseName>
        <FullAddress>כנפי נשרים 66 ירושלים גבעת שאול</FullAddress>
        <MotionID>0</MotionID>
        <CasePleaID>0</CasePleaID>
        <LinkedCaseID>0</LinkedCaseID>
        <PartyID>2</PartyID>
        <CasePartyCategoryID>2</CasePartyCategoryID>
        <LegalEntityAddressID>16129963</LegalEntityAddressID>
        <PleaTypeID>6</PleaTypeID>
        <GroupPartyAlias>משיבים</GroupPartyAlias>
        <IsConverted>false</IsConverted>
        <LegalEntityRegisteredNameID>1721318</LegalEntityRegisteredNameID>
        <RepresentatedNamesOfAssistant/>
        <LegalEntityTypeID>3</LegalEntityTypeID>
        <IsVerdictExists>false</IsVerdictExists>
        <IsAsirAzir>false</IsAsirAzir>
        <MainAndSecSpec/>
        <IsPublicationProhibited>false</IsPublicationProhibited>
        <PublicationProhibitedFullName>פקיד שומה ירושלים סניף כנפי נשרים</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קרן יוסט</FullName>
        <FirstName>קרן</FirstName>
        <LastName>יוסט</LastName>
        <PartyPropertyName/>
        <AuthenticationTypeAndNumber>מ.ר. 23388</AuthenticationTypeAndNumber>
        <RepresentatedOrRepresentativesNames xml:space="preserve"> </RepresentatedOrRepresentativesNames>
        <RepresentatedOrRepresentativesCount>1</RepresentatedOrRepresentativesCount>
        <InvitedBy/>
        <CaseID>78148018</CaseID>
        <CaseJudicialPersonPresentationDS>
          <CaseJudicalPersonActive>
            <CaseID>78148018</CaseID>
            <JudicialPersonID>055121115@GOV.IL</JudicialPersonID>
            <JudicialPersonTypeID>1</JudicialPersonTypeID>
            <JudicialTypeID>1</JudicialTypeID>
            <IsChairman>false</IsChairman>
            <TreatmentStartDate>2021-05-24T17:24:54.02+03:00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260961939</CasePartyID>
        <PartyTypeID>2</PartyTypeID>
        <ActivityStatusID>1</ActivityStatusID>
        <PartyAliasID>23</PartyAliasID>
        <PartyAliasName>בא כוח משיבים</PartyAliasName>
        <OrdinalNumber>1</OrdinalNumber>
        <LegalEntityID>401563</LegalEntityID>
        <CaseLegalEntityID>126068498</CaseLegalEntityID>
        <AuthenticationTypeID>4</AuthenticationTypeID>
        <AuthenticationTypeName>מ.ר.</AuthenticationTypeName>
        <LegalEntityNumber>23388</LegalEntityNumber>
        <IsMainPartyType>true</IsMainPartyType>
        <CaseDisplayIdentifier>2454-03-21</CaseDisplayIdentifier>
        <CaseTypeID>10113</CaseTypeID>
        <CaseTypeName>ערעור מסים (ע"מ)</CaseTypeName>
        <CaseName>ידיד ואח' נ' פקיד שומה ירושלים סניף כנפי נשרים</CaseName>
        <FullAddress>מח"ל 7 ירושלים </FullAddress>
        <MotionID>0</MotionID>
        <CasePleaID>0</CasePleaID>
        <LinkedCaseID>0</LinkedCaseID>
        <PartyID>2</PartyID>
        <CasePartyCategoryID>2</CasePartyCategoryID>
        <LegalEntityAddressID>58125595</LegalEntityAddressID>
        <PleaTypeID>6</PleaTypeID>
        <LawyerOfficeName>פרקליטות מחוז ירושלים - אזרחי</LawyerOfficeName>
        <LawyerOfficeID>12740882</LawyerOfficeID>
        <GroupPartyAlias/>
        <IsConverted>false</IsConverted>
        <LegalEntityNameID>95420124</LegalEntityNameID>
        <RepresentatedNamesOfAssistant/>
        <LegalEntityTypeID>4</LegalEntityTypeID>
        <IsVerdictExists>false</IsVerdictExists>
        <IsAsirAzir>false</IsAsirAzir>
        <MainAndSecSpec/>
        <IsPublicationProhibited>false</IsPublicationProhibited>
        <PublicationProhibitedFullName>קרן יוסט</PublicationProhibitedFullName>
      </CaseParties>
    </CasePartiesSelectionDS>
    <CaseName>ידיד ואח' נ' פקיד שומה ירושלים סניף כנפי נשרים</CaseName>
    <CaseDisplayIdentifier>2454-03-21</CaseDisplayIdentifier>
    <CaseInterestID>65</CaseInterestID>
    <CaseTypeShortName>ע"מ</CaseTypeShortName>
  </dt_DecisionCase>
  <dt_DecisionJudgePanel>
    <JudgeID>055121115@GOV.IL</JudgeID>
    <DisplayName>אביגדור דורות</DisplayName>
    <RoleName>שופט</RoleName>
    <UserTitleName>שופט</UserTitleName>
  </dt_DecisionJudgePanel>
  <dt_LegalEntityDetails>
    <PartyID>1</PartyID>
    <PartyTypeID>1</PartyTypeID>
    <DecisionID>0</DecisionID>
    <IsPublicationProhibited>false</IsPublicationProhibited>
  </dt_LegalEntityDetails>
  <dt_LegalEntityDetails>
    <PartyID>1</PartyID>
    <PartyTypeID>1</PartyTypeID>
    <DecisionID>0</DecisionID>
    <IsPublicationProhibited>false</IsPublicationProhibited>
  </dt_LegalEntityDetails>
  <dt_LegalEntityDetails>
    <Fax>03-5666040</Fax>
    <Phone>03-6094771</Phone>
    <AddressDesc/>
    <PartyID>1</PartyID>
    <PartyTypeID>2</PartyTypeID>
    <DecisionID>0</DecisionID>
    <StreetName>אריאל שרון 4</StreetName>
    <CityName>גבעתיים</CityName>
    <FullName>לירן זילברמן</FullName>
    <Email>liran.zilberman@gmail.com</Email>
    <IsPublicationProhibited>false</IsPublicationProhibited>
  </dt_LegalEntityDetails>
  <dt_LegalEntityDetails>
    <Fax>02-6545299</Fax>
    <Phone>02-6545111</Phone>
    <AddressDesc>גבעת שאול</AddressDesc>
    <PartyID>2</PartyID>
    <PartyTypeID>1</PartyTypeID>
    <DecisionID>0</DecisionID>
    <StreetName>כנפי נשרים 66</StreetName>
    <CityName>ירושלים</CityName>
    <FullName> פקיד שומה ירושלים סניף כנפי נשרים</FullName>
    <IsPublicationProhibited>false</IsPublicationProhibited>
  </dt_LegalEntityDetails>
  <dt_LegalEntityDetails>
    <Fax>02-5419581</Fax>
    <Phone>02-5419555</Phone>
    <PartyID>2</PartyID>
    <PartyTypeID>2</PartyTypeID>
    <DecisionID>0</DecisionID>
    <StreetName>מח"ל 7</StreetName>
    <CityName>ירושלים</CityName>
    <FullName>קרן יוסט</FullName>
    <IsPublicationProhibited>false</IsPublicationProhibited>
  </dt_LegalEntityDetails>
  <dt_CaseJudicalPersonActive>
    <CaseJudicalPerson>שופט אביגדור דורות</CaseJudicalPerson>
  </dt_CaseJudicalPersonActive>
  <dt_Sitting>
    <PreviousMeetingDate>2023-05-18T10:00:00+03:00</PreviousMeetingDate>
    <PreviousSittingTypeID>2</PreviousSittingTypeID>
    <PreviousMeetingDisplayName>שופט אביגדור דורות</PreviousMeetingDisplayName>
    <PreviousMeetingRoleName>שופט</PreviousMeetingRoleName>
    <PreviousMeetingUserTitleName>שופט</PreviousMeetingUserTitleName>
    <PreviousMeetingUserUPN>055121115@GOV.IL</PreviousMeetingUserUPN>
  </dt_Sitting>
</DecisionTemplateDS>
</file>

<file path=customXml/itemProps1.xml><?xml version="1.0" encoding="utf-8"?>
<ds:datastoreItem xmlns:ds="http://schemas.openxmlformats.org/officeDocument/2006/customXml" ds:itemID="{C341E12F-C826-4510-A4AE-F6A1D75740D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4758</Words>
  <Characters>27124</Characters>
  <Application>Microsoft Office Word</Application>
  <DocSecurity>0</DocSecurity>
  <Lines>226</Lines>
  <Paragraphs>63</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31819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dudunyossiy@gmail.com</cp:lastModifiedBy>
  <cp:revision>2</cp:revision>
  <cp:lastPrinted>2024-09-26T08:37:00Z</cp:lastPrinted>
  <dcterms:created xsi:type="dcterms:W3CDTF">2024-10-13T06:41:00Z</dcterms:created>
  <dcterms:modified xsi:type="dcterms:W3CDTF">2024-10-13T06:41:00Z</dcterms:modified>
</cp:coreProperties>
</file>