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a"/>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7"/>
        <w:gridCol w:w="7793"/>
      </w:tblGrid>
      <w:tr w:rsidR="007021DB" w:rsidRPr="007021DB" w14:paraId="4359D6D8" w14:textId="77777777" w:rsidTr="007021DB">
        <w:trPr>
          <w:jc w:val="center"/>
        </w:trPr>
        <w:tc>
          <w:tcPr>
            <w:tcW w:w="8820" w:type="dxa"/>
            <w:gridSpan w:val="2"/>
          </w:tcPr>
          <w:p w14:paraId="0FEE4856" w14:textId="77777777" w:rsidR="007021DB" w:rsidRPr="003319D9" w:rsidRDefault="007021DB">
            <w:pPr>
              <w:jc w:val="right"/>
              <w:rPr>
                <w:rStyle w:val="af"/>
                <w:highlight w:val="yellow"/>
              </w:rPr>
            </w:pPr>
          </w:p>
        </w:tc>
      </w:tr>
      <w:tr w:rsidR="007021DB" w:rsidRPr="007021DB" w14:paraId="303DD9F4" w14:textId="77777777" w:rsidTr="007021DB">
        <w:trPr>
          <w:jc w:val="center"/>
        </w:trPr>
        <w:tc>
          <w:tcPr>
            <w:tcW w:w="1027" w:type="dxa"/>
            <w:hideMark/>
          </w:tcPr>
          <w:p w14:paraId="689400DF" w14:textId="77777777" w:rsidR="007021DB" w:rsidRPr="007021DB" w:rsidRDefault="007021DB">
            <w:pPr>
              <w:bidi w:val="0"/>
              <w:jc w:val="right"/>
              <w:rPr>
                <w:rFonts w:ascii="David" w:hAnsi="David"/>
                <w:sz w:val="26"/>
                <w:szCs w:val="26"/>
                <w:rtl/>
                <w:lang w:bidi="ar-SA"/>
              </w:rPr>
            </w:pPr>
            <w:r w:rsidRPr="007021DB">
              <w:rPr>
                <w:rFonts w:ascii="David" w:hAnsi="David"/>
                <w:b/>
                <w:bCs/>
                <w:sz w:val="26"/>
                <w:szCs w:val="26"/>
                <w:u w:val="single"/>
                <w:rtl/>
              </w:rPr>
              <w:t>בעניין</w:t>
            </w:r>
            <w:r w:rsidRPr="007021DB">
              <w:rPr>
                <w:rFonts w:ascii="David" w:hAnsi="David"/>
                <w:sz w:val="26"/>
                <w:szCs w:val="26"/>
                <w:rtl/>
              </w:rPr>
              <w:t>:</w:t>
            </w:r>
          </w:p>
        </w:tc>
        <w:tc>
          <w:tcPr>
            <w:tcW w:w="7793" w:type="dxa"/>
          </w:tcPr>
          <w:p w14:paraId="10F25424" w14:textId="77777777" w:rsidR="007021DB" w:rsidRPr="007021DB" w:rsidRDefault="007021DB" w:rsidP="0012710D">
            <w:pPr>
              <w:rPr>
                <w:rFonts w:ascii="David" w:hAnsi="David"/>
                <w:sz w:val="26"/>
                <w:szCs w:val="26"/>
              </w:rPr>
            </w:pPr>
            <w:r w:rsidRPr="007021DB">
              <w:rPr>
                <w:rFonts w:ascii="David" w:hAnsi="David"/>
                <w:b/>
                <w:bCs/>
                <w:sz w:val="26"/>
                <w:szCs w:val="26"/>
                <w:rtl/>
              </w:rPr>
              <w:t xml:space="preserve">      </w:t>
            </w:r>
            <w:r w:rsidR="0012710D">
              <w:rPr>
                <w:rFonts w:ascii="David" w:hAnsi="David" w:hint="cs"/>
                <w:b/>
                <w:bCs/>
                <w:sz w:val="26"/>
                <w:szCs w:val="26"/>
                <w:rtl/>
              </w:rPr>
              <w:t>פלוני</w:t>
            </w:r>
            <w:r w:rsidRPr="007021DB">
              <w:rPr>
                <w:rFonts w:ascii="David" w:hAnsi="David"/>
                <w:b/>
                <w:bCs/>
                <w:sz w:val="26"/>
                <w:szCs w:val="26"/>
                <w:rtl/>
              </w:rPr>
              <w:t xml:space="preserve"> – תושב זר</w:t>
            </w:r>
          </w:p>
          <w:p w14:paraId="3B92967C" w14:textId="77777777" w:rsidR="007021DB" w:rsidRPr="007021DB" w:rsidRDefault="007021DB">
            <w:pPr>
              <w:spacing w:line="360" w:lineRule="auto"/>
              <w:ind w:left="360"/>
              <w:jc w:val="both"/>
              <w:rPr>
                <w:rFonts w:ascii="David" w:hAnsi="David"/>
                <w:sz w:val="26"/>
                <w:szCs w:val="26"/>
                <w:rtl/>
              </w:rPr>
            </w:pPr>
          </w:p>
          <w:p w14:paraId="01A3EFBD" w14:textId="77777777" w:rsidR="007021DB" w:rsidRPr="007021DB" w:rsidRDefault="007021DB">
            <w:pPr>
              <w:spacing w:line="360" w:lineRule="auto"/>
              <w:ind w:left="360"/>
              <w:jc w:val="both"/>
              <w:rPr>
                <w:rFonts w:ascii="David" w:hAnsi="David"/>
                <w:sz w:val="26"/>
                <w:szCs w:val="26"/>
                <w:rtl/>
                <w:lang w:bidi="ar-SA"/>
              </w:rPr>
            </w:pPr>
            <w:r w:rsidRPr="007021DB">
              <w:rPr>
                <w:rFonts w:ascii="David" w:hAnsi="David"/>
                <w:sz w:val="26"/>
                <w:szCs w:val="26"/>
                <w:rtl/>
              </w:rPr>
              <w:t xml:space="preserve">ע"י ב"כ עו"ד טארק בשיר </w:t>
            </w:r>
            <w:r w:rsidRPr="007021DB">
              <w:rPr>
                <w:rFonts w:ascii="David" w:hAnsi="David"/>
                <w:b/>
                <w:bCs/>
                <w:sz w:val="26"/>
                <w:szCs w:val="26"/>
                <w:rtl/>
              </w:rPr>
              <w:t xml:space="preserve">                                                           </w:t>
            </w:r>
            <w:r w:rsidRPr="007021DB">
              <w:rPr>
                <w:rFonts w:ascii="David" w:hAnsi="David"/>
                <w:b/>
                <w:bCs/>
                <w:sz w:val="26"/>
                <w:szCs w:val="26"/>
                <w:u w:val="single"/>
                <w:rtl/>
              </w:rPr>
              <w:t>המערער</w:t>
            </w:r>
          </w:p>
          <w:p w14:paraId="0930CD3A" w14:textId="77777777" w:rsidR="007021DB" w:rsidRPr="007021DB" w:rsidRDefault="007021DB">
            <w:pPr>
              <w:spacing w:line="360" w:lineRule="auto"/>
              <w:jc w:val="both"/>
              <w:rPr>
                <w:rFonts w:ascii="David" w:hAnsi="David"/>
                <w:sz w:val="26"/>
                <w:szCs w:val="26"/>
                <w:rtl/>
              </w:rPr>
            </w:pPr>
          </w:p>
        </w:tc>
      </w:tr>
      <w:tr w:rsidR="007021DB" w:rsidRPr="007021DB" w14:paraId="7A94A757" w14:textId="77777777" w:rsidTr="007021DB">
        <w:trPr>
          <w:jc w:val="center"/>
        </w:trPr>
        <w:tc>
          <w:tcPr>
            <w:tcW w:w="8820" w:type="dxa"/>
            <w:gridSpan w:val="2"/>
          </w:tcPr>
          <w:p w14:paraId="4FDF273D" w14:textId="77777777" w:rsidR="007021DB" w:rsidRPr="007021DB" w:rsidRDefault="007021DB">
            <w:pPr>
              <w:jc w:val="right"/>
              <w:rPr>
                <w:rFonts w:ascii="David" w:hAnsi="David"/>
                <w:b/>
                <w:bCs/>
                <w:sz w:val="26"/>
                <w:szCs w:val="26"/>
                <w:rtl/>
              </w:rPr>
            </w:pPr>
          </w:p>
          <w:p w14:paraId="3EF13D31" w14:textId="77777777" w:rsidR="007021DB" w:rsidRPr="007021DB" w:rsidRDefault="007021DB">
            <w:pPr>
              <w:rPr>
                <w:rFonts w:ascii="David" w:hAnsi="David"/>
                <w:b/>
                <w:bCs/>
                <w:sz w:val="26"/>
                <w:szCs w:val="26"/>
              </w:rPr>
            </w:pPr>
            <w:r w:rsidRPr="007021DB">
              <w:rPr>
                <w:rFonts w:ascii="David" w:hAnsi="David"/>
                <w:b/>
                <w:bCs/>
                <w:sz w:val="26"/>
                <w:szCs w:val="26"/>
                <w:rtl/>
              </w:rPr>
              <w:t xml:space="preserve">                                        -נ ג ד -</w:t>
            </w:r>
          </w:p>
          <w:p w14:paraId="47C563DB" w14:textId="77777777" w:rsidR="007021DB" w:rsidRPr="007021DB" w:rsidRDefault="007021DB">
            <w:pPr>
              <w:jc w:val="right"/>
              <w:rPr>
                <w:rFonts w:ascii="David" w:hAnsi="David"/>
                <w:b/>
                <w:bCs/>
                <w:sz w:val="26"/>
                <w:szCs w:val="26"/>
                <w:rtl/>
                <w:lang w:bidi="ar-SA"/>
              </w:rPr>
            </w:pPr>
          </w:p>
        </w:tc>
      </w:tr>
      <w:tr w:rsidR="007021DB" w:rsidRPr="007021DB" w14:paraId="29498EC6" w14:textId="77777777" w:rsidTr="007021DB">
        <w:trPr>
          <w:jc w:val="center"/>
        </w:trPr>
        <w:tc>
          <w:tcPr>
            <w:tcW w:w="1027" w:type="dxa"/>
          </w:tcPr>
          <w:p w14:paraId="33E4AC31" w14:textId="77777777" w:rsidR="007021DB" w:rsidRPr="007021DB" w:rsidRDefault="007021DB">
            <w:pPr>
              <w:jc w:val="right"/>
              <w:rPr>
                <w:rFonts w:ascii="David" w:hAnsi="David"/>
                <w:b/>
                <w:bCs/>
                <w:sz w:val="26"/>
                <w:szCs w:val="26"/>
                <w:rtl/>
              </w:rPr>
            </w:pPr>
          </w:p>
          <w:p w14:paraId="66AEA9BE" w14:textId="77777777" w:rsidR="007021DB" w:rsidRPr="007021DB" w:rsidRDefault="007021DB">
            <w:pPr>
              <w:rPr>
                <w:rFonts w:ascii="David" w:hAnsi="David"/>
                <w:b/>
                <w:bCs/>
                <w:sz w:val="26"/>
                <w:szCs w:val="26"/>
              </w:rPr>
            </w:pPr>
            <w:r w:rsidRPr="007021DB">
              <w:rPr>
                <w:rFonts w:ascii="David" w:hAnsi="David"/>
                <w:b/>
                <w:bCs/>
                <w:sz w:val="26"/>
                <w:szCs w:val="26"/>
                <w:rtl/>
              </w:rPr>
              <w:t xml:space="preserve"> </w:t>
            </w:r>
          </w:p>
        </w:tc>
        <w:tc>
          <w:tcPr>
            <w:tcW w:w="7793" w:type="dxa"/>
          </w:tcPr>
          <w:p w14:paraId="55B2C4F9" w14:textId="77777777" w:rsidR="007021DB" w:rsidRPr="007021DB" w:rsidRDefault="007021DB">
            <w:pPr>
              <w:rPr>
                <w:rFonts w:ascii="David" w:hAnsi="David"/>
                <w:sz w:val="26"/>
                <w:szCs w:val="26"/>
                <w:rtl/>
              </w:rPr>
            </w:pPr>
            <w:r w:rsidRPr="007021DB">
              <w:rPr>
                <w:rFonts w:ascii="David" w:hAnsi="David"/>
                <w:b/>
                <w:bCs/>
                <w:sz w:val="26"/>
                <w:szCs w:val="26"/>
                <w:rtl/>
              </w:rPr>
              <w:t xml:space="preserve">      פקיד שומה אוטונומיה</w:t>
            </w:r>
          </w:p>
          <w:p w14:paraId="463B7453" w14:textId="77777777" w:rsidR="007021DB" w:rsidRPr="007021DB" w:rsidRDefault="007021DB">
            <w:pPr>
              <w:jc w:val="right"/>
              <w:rPr>
                <w:rFonts w:ascii="David" w:hAnsi="David"/>
                <w:sz w:val="26"/>
                <w:szCs w:val="26"/>
                <w:lang w:bidi="ar-SA"/>
              </w:rPr>
            </w:pPr>
          </w:p>
          <w:p w14:paraId="71EA7542" w14:textId="77777777" w:rsidR="007021DB" w:rsidRPr="007021DB" w:rsidRDefault="007021DB">
            <w:pPr>
              <w:rPr>
                <w:rFonts w:ascii="David" w:hAnsi="David"/>
                <w:sz w:val="26"/>
                <w:szCs w:val="26"/>
                <w:rtl/>
              </w:rPr>
            </w:pPr>
            <w:r w:rsidRPr="007021DB">
              <w:rPr>
                <w:rFonts w:ascii="David" w:hAnsi="David"/>
                <w:sz w:val="26"/>
                <w:szCs w:val="26"/>
                <w:rtl/>
              </w:rPr>
              <w:t xml:space="preserve">      ע"י ב"כ עו"ד אמיר שקר</w:t>
            </w:r>
          </w:p>
          <w:p w14:paraId="4AA14E66" w14:textId="77777777" w:rsidR="007021DB" w:rsidRPr="007021DB" w:rsidRDefault="007021DB">
            <w:pPr>
              <w:tabs>
                <w:tab w:val="left" w:pos="4849"/>
              </w:tabs>
              <w:rPr>
                <w:rFonts w:ascii="David" w:hAnsi="David"/>
                <w:b/>
                <w:bCs/>
                <w:sz w:val="26"/>
                <w:szCs w:val="26"/>
                <w:u w:val="single"/>
                <w:rtl/>
                <w:lang w:bidi="ar-SA"/>
              </w:rPr>
            </w:pPr>
            <w:r w:rsidRPr="007021DB">
              <w:rPr>
                <w:rFonts w:ascii="David" w:hAnsi="David"/>
                <w:sz w:val="26"/>
                <w:szCs w:val="26"/>
                <w:rtl/>
              </w:rPr>
              <w:t xml:space="preserve">      מפרקליטות מחוז ירושלים (אזרחי)</w:t>
            </w:r>
            <w:r w:rsidRPr="007021DB">
              <w:rPr>
                <w:rFonts w:ascii="David" w:hAnsi="David"/>
                <w:b/>
                <w:bCs/>
                <w:sz w:val="26"/>
                <w:szCs w:val="26"/>
                <w:rtl/>
              </w:rPr>
              <w:t xml:space="preserve">                                               </w:t>
            </w:r>
            <w:r w:rsidRPr="007021DB">
              <w:rPr>
                <w:rFonts w:ascii="David" w:hAnsi="David"/>
                <w:b/>
                <w:bCs/>
                <w:sz w:val="26"/>
                <w:szCs w:val="26"/>
                <w:u w:val="single"/>
                <w:rtl/>
              </w:rPr>
              <w:t>המשיב</w:t>
            </w:r>
          </w:p>
        </w:tc>
      </w:tr>
      <w:tr w:rsidR="007021DB" w:rsidRPr="007021DB" w14:paraId="2ED9FB48" w14:textId="77777777" w:rsidTr="007021DB">
        <w:trPr>
          <w:jc w:val="center"/>
        </w:trPr>
        <w:tc>
          <w:tcPr>
            <w:tcW w:w="1027" w:type="dxa"/>
          </w:tcPr>
          <w:p w14:paraId="05F7151B" w14:textId="77777777" w:rsidR="007021DB" w:rsidRPr="007021DB" w:rsidRDefault="007021DB">
            <w:pPr>
              <w:jc w:val="right"/>
              <w:rPr>
                <w:rFonts w:ascii="David" w:hAnsi="David"/>
                <w:b/>
                <w:bCs/>
                <w:sz w:val="26"/>
                <w:szCs w:val="26"/>
                <w:rtl/>
              </w:rPr>
            </w:pPr>
          </w:p>
        </w:tc>
        <w:tc>
          <w:tcPr>
            <w:tcW w:w="7793" w:type="dxa"/>
          </w:tcPr>
          <w:p w14:paraId="72F151BF" w14:textId="77777777" w:rsidR="007021DB" w:rsidRPr="007021DB" w:rsidRDefault="007021DB">
            <w:pPr>
              <w:jc w:val="right"/>
              <w:rPr>
                <w:rFonts w:ascii="David" w:hAnsi="David"/>
                <w:b/>
                <w:bCs/>
                <w:sz w:val="26"/>
                <w:szCs w:val="26"/>
              </w:rPr>
            </w:pPr>
          </w:p>
        </w:tc>
      </w:tr>
    </w:tbl>
    <w:p w14:paraId="7B89CC66" w14:textId="77777777" w:rsidR="007021DB" w:rsidRPr="007021DB" w:rsidRDefault="007021DB" w:rsidP="007021DB">
      <w:pPr>
        <w:rPr>
          <w:rFonts w:ascii="David" w:hAnsi="David"/>
          <w:sz w:val="26"/>
          <w:szCs w:val="26"/>
          <w:rtl/>
          <w:lang w:bidi="ar-SA"/>
        </w:rPr>
      </w:pPr>
    </w:p>
    <w:p w14:paraId="70735DB0" w14:textId="77777777" w:rsidR="007021DB" w:rsidRPr="007021DB" w:rsidRDefault="007021DB" w:rsidP="007021DB">
      <w:pPr>
        <w:rPr>
          <w:rFonts w:ascii="David" w:hAnsi="David"/>
          <w:noProof w:val="0"/>
          <w:sz w:val="26"/>
          <w:szCs w:val="26"/>
          <w:rtl/>
        </w:rPr>
      </w:pPr>
    </w:p>
    <w:tbl>
      <w:tblPr>
        <w:tblStyle w:val="aa"/>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0"/>
      </w:tblGrid>
      <w:tr w:rsidR="007021DB" w:rsidRPr="007021DB" w14:paraId="26ACC08E" w14:textId="77777777" w:rsidTr="007021DB">
        <w:trPr>
          <w:jc w:val="center"/>
        </w:trPr>
        <w:tc>
          <w:tcPr>
            <w:tcW w:w="8820" w:type="dxa"/>
            <w:hideMark/>
          </w:tcPr>
          <w:p w14:paraId="14DE13DD" w14:textId="77777777" w:rsidR="007021DB" w:rsidRPr="007021DB" w:rsidRDefault="007021DB">
            <w:pPr>
              <w:bidi w:val="0"/>
              <w:jc w:val="center"/>
              <w:rPr>
                <w:rFonts w:ascii="David" w:hAnsi="David"/>
                <w:b/>
                <w:bCs/>
                <w:sz w:val="32"/>
                <w:szCs w:val="32"/>
                <w:u w:val="single"/>
              </w:rPr>
            </w:pPr>
            <w:r w:rsidRPr="007021DB">
              <w:rPr>
                <w:rFonts w:ascii="David" w:hAnsi="David"/>
                <w:b/>
                <w:bCs/>
                <w:sz w:val="32"/>
                <w:szCs w:val="32"/>
                <w:u w:val="single"/>
                <w:rtl/>
              </w:rPr>
              <w:t>פסק דין</w:t>
            </w:r>
          </w:p>
        </w:tc>
      </w:tr>
    </w:tbl>
    <w:p w14:paraId="4C63D510" w14:textId="77777777" w:rsidR="007021DB" w:rsidRDefault="007021DB" w:rsidP="007021DB">
      <w:pPr>
        <w:spacing w:after="360"/>
        <w:mirrorIndents/>
        <w:jc w:val="both"/>
        <w:rPr>
          <w:rFonts w:ascii="David" w:hAnsi="David"/>
          <w:sz w:val="26"/>
          <w:szCs w:val="26"/>
          <w:rtl/>
        </w:rPr>
      </w:pPr>
    </w:p>
    <w:p w14:paraId="2CF1999C" w14:textId="77777777" w:rsidR="007021DB" w:rsidRPr="007021DB" w:rsidRDefault="007021DB" w:rsidP="0012710D">
      <w:pPr>
        <w:spacing w:after="360" w:line="360" w:lineRule="auto"/>
        <w:mirrorIndents/>
        <w:jc w:val="both"/>
        <w:rPr>
          <w:rFonts w:ascii="David" w:hAnsi="David"/>
          <w:sz w:val="26"/>
          <w:szCs w:val="26"/>
          <w:rtl/>
        </w:rPr>
      </w:pPr>
      <w:r w:rsidRPr="007021DB">
        <w:rPr>
          <w:rFonts w:ascii="David" w:hAnsi="David"/>
          <w:sz w:val="26"/>
          <w:szCs w:val="26"/>
          <w:rtl/>
        </w:rPr>
        <w:t xml:space="preserve">פסק דין זה עוסק בערעור שהגיש </w:t>
      </w:r>
      <w:r w:rsidR="0012710D">
        <w:rPr>
          <w:rFonts w:ascii="David" w:hAnsi="David" w:hint="cs"/>
          <w:sz w:val="26"/>
          <w:szCs w:val="26"/>
          <w:rtl/>
        </w:rPr>
        <w:t xml:space="preserve">[הושמט] </w:t>
      </w:r>
      <w:r w:rsidR="00ED2D58">
        <w:rPr>
          <w:rFonts w:ascii="David" w:hAnsi="David" w:hint="cs"/>
          <w:sz w:val="26"/>
          <w:szCs w:val="26"/>
          <w:rtl/>
        </w:rPr>
        <w:t>(להלן: "</w:t>
      </w:r>
      <w:r w:rsidR="00ED2D58" w:rsidRPr="00ED2D58">
        <w:rPr>
          <w:rFonts w:ascii="David" w:hAnsi="David" w:hint="cs"/>
          <w:bCs/>
          <w:sz w:val="26"/>
          <w:szCs w:val="26"/>
          <w:rtl/>
        </w:rPr>
        <w:t>המערער</w:t>
      </w:r>
      <w:r w:rsidR="00ED2D58">
        <w:rPr>
          <w:rFonts w:ascii="David" w:hAnsi="David" w:hint="cs"/>
          <w:sz w:val="26"/>
          <w:szCs w:val="26"/>
          <w:rtl/>
        </w:rPr>
        <w:t>")</w:t>
      </w:r>
      <w:r w:rsidRPr="007021DB">
        <w:rPr>
          <w:rFonts w:ascii="David" w:hAnsi="David"/>
          <w:sz w:val="26"/>
          <w:szCs w:val="26"/>
          <w:rtl/>
        </w:rPr>
        <w:t xml:space="preserve">, נגד שומות מס הכנסה של פקיד שומה אוטונומיה (להלן: </w:t>
      </w:r>
      <w:r w:rsidRPr="007021DB">
        <w:rPr>
          <w:rFonts w:ascii="David" w:hAnsi="David"/>
          <w:b/>
          <w:bCs/>
          <w:sz w:val="26"/>
          <w:szCs w:val="26"/>
          <w:rtl/>
        </w:rPr>
        <w:t>"</w:t>
      </w:r>
      <w:r w:rsidR="00ED2D58">
        <w:rPr>
          <w:rFonts w:ascii="David" w:hAnsi="David" w:hint="cs"/>
          <w:b/>
          <w:bCs/>
          <w:sz w:val="26"/>
          <w:szCs w:val="26"/>
          <w:rtl/>
        </w:rPr>
        <w:t>המשיב</w:t>
      </w:r>
      <w:r w:rsidRPr="007021DB">
        <w:rPr>
          <w:rFonts w:ascii="David" w:hAnsi="David"/>
          <w:b/>
          <w:bCs/>
          <w:sz w:val="26"/>
          <w:szCs w:val="26"/>
          <w:rtl/>
        </w:rPr>
        <w:t>"</w:t>
      </w:r>
      <w:r w:rsidRPr="007021DB">
        <w:rPr>
          <w:rFonts w:ascii="David" w:hAnsi="David"/>
          <w:sz w:val="26"/>
          <w:szCs w:val="26"/>
          <w:rtl/>
        </w:rPr>
        <w:t>) לשנת 2015 וזאת, בהתאם להוראות סעיף 160(ג) לפקודת מס הכנסה [נוסח חדש] (להלן: "</w:t>
      </w:r>
      <w:r w:rsidRPr="007021DB">
        <w:rPr>
          <w:rFonts w:ascii="David" w:hAnsi="David"/>
          <w:bCs/>
          <w:sz w:val="26"/>
          <w:szCs w:val="26"/>
          <w:rtl/>
        </w:rPr>
        <w:t>הפקודה</w:t>
      </w:r>
      <w:r w:rsidRPr="007021DB">
        <w:rPr>
          <w:rFonts w:ascii="David" w:hAnsi="David"/>
          <w:sz w:val="26"/>
          <w:szCs w:val="26"/>
          <w:rtl/>
        </w:rPr>
        <w:t>").</w:t>
      </w:r>
    </w:p>
    <w:p w14:paraId="4B9EC47F" w14:textId="77777777" w:rsidR="007021DB" w:rsidRPr="007021DB" w:rsidRDefault="007021DB" w:rsidP="00ED2D58">
      <w:pPr>
        <w:pStyle w:val="ae"/>
        <w:widowControl w:val="0"/>
        <w:numPr>
          <w:ilvl w:val="0"/>
          <w:numId w:val="1"/>
        </w:numPr>
        <w:bidi/>
        <w:spacing w:after="360" w:line="360" w:lineRule="auto"/>
        <w:jc w:val="both"/>
        <w:rPr>
          <w:rFonts w:ascii="David" w:hAnsi="David" w:cs="David"/>
          <w:b/>
          <w:bCs/>
          <w:sz w:val="26"/>
          <w:szCs w:val="26"/>
          <w:lang w:bidi="he-IL"/>
        </w:rPr>
      </w:pPr>
      <w:r w:rsidRPr="007021DB">
        <w:rPr>
          <w:rFonts w:ascii="David" w:hAnsi="David" w:cs="David"/>
          <w:b/>
          <w:bCs/>
          <w:sz w:val="26"/>
          <w:szCs w:val="26"/>
          <w:u w:val="single"/>
          <w:rtl/>
          <w:lang w:bidi="he-IL"/>
        </w:rPr>
        <w:t>העובדות הדרושות לעניין</w:t>
      </w:r>
      <w:r w:rsidRPr="007021DB">
        <w:rPr>
          <w:rFonts w:ascii="David" w:hAnsi="David" w:cs="David"/>
          <w:b/>
          <w:bCs/>
          <w:sz w:val="26"/>
          <w:szCs w:val="26"/>
          <w:rtl/>
          <w:lang w:bidi="he-IL"/>
        </w:rPr>
        <w:t xml:space="preserve"> </w:t>
      </w:r>
    </w:p>
    <w:p w14:paraId="24E51946" w14:textId="77777777" w:rsidR="007021DB" w:rsidRPr="007021DB" w:rsidRDefault="007021DB" w:rsidP="007021DB">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המערער השתתף וזכה במשחק טוטו (</w:t>
      </w:r>
      <w:r w:rsidRPr="007021DB">
        <w:rPr>
          <w:rFonts w:ascii="David" w:hAnsi="David" w:cs="David"/>
          <w:sz w:val="26"/>
          <w:szCs w:val="26"/>
          <w:lang w:bidi="he-IL"/>
        </w:rPr>
        <w:t>WINNER16</w:t>
      </w:r>
      <w:r w:rsidRPr="007021DB">
        <w:rPr>
          <w:rFonts w:ascii="David" w:hAnsi="David" w:cs="David"/>
          <w:sz w:val="26"/>
          <w:szCs w:val="26"/>
          <w:rtl/>
          <w:lang w:bidi="he-IL"/>
        </w:rPr>
        <w:t xml:space="preserve">) שהתקיים בשנת 2015. סכום </w:t>
      </w:r>
      <w:proofErr w:type="spellStart"/>
      <w:r w:rsidRPr="007021DB">
        <w:rPr>
          <w:rFonts w:ascii="David" w:hAnsi="David" w:cs="David"/>
          <w:sz w:val="26"/>
          <w:szCs w:val="26"/>
          <w:rtl/>
          <w:lang w:bidi="he-IL"/>
        </w:rPr>
        <w:t>הזכיה</w:t>
      </w:r>
      <w:proofErr w:type="spellEnd"/>
      <w:r w:rsidRPr="007021DB">
        <w:rPr>
          <w:rFonts w:ascii="David" w:hAnsi="David" w:cs="David"/>
          <w:sz w:val="26"/>
          <w:szCs w:val="26"/>
          <w:rtl/>
          <w:lang w:bidi="he-IL"/>
        </w:rPr>
        <w:t xml:space="preserve"> עמד על 45,277,045 שקלים. בהתאם להוראות סעיף 124ב לפקודה ובהתאם לתקנות מס הכנסה (ניכוי מתשלום בשל הימורים, הגרלות או פעילות נושאת פרסים), התשנ"ג-2003 (להלן: </w:t>
      </w:r>
      <w:r w:rsidRPr="007021DB">
        <w:rPr>
          <w:rFonts w:ascii="David" w:hAnsi="David" w:cs="David"/>
          <w:bCs/>
          <w:sz w:val="26"/>
          <w:szCs w:val="26"/>
          <w:rtl/>
          <w:lang w:bidi="he-IL"/>
        </w:rPr>
        <w:t>"תקנות ניכוי במקור</w:t>
      </w:r>
      <w:r w:rsidRPr="007021DB">
        <w:rPr>
          <w:rFonts w:ascii="David" w:hAnsi="David" w:cs="David"/>
          <w:sz w:val="26"/>
          <w:szCs w:val="26"/>
          <w:rtl/>
          <w:lang w:bidi="he-IL"/>
        </w:rPr>
        <w:t xml:space="preserve">") נוכו למערער במקור 30% מכספי </w:t>
      </w:r>
      <w:proofErr w:type="spellStart"/>
      <w:r w:rsidRPr="007021DB">
        <w:rPr>
          <w:rFonts w:ascii="David" w:hAnsi="David" w:cs="David"/>
          <w:sz w:val="26"/>
          <w:szCs w:val="26"/>
          <w:rtl/>
          <w:lang w:bidi="he-IL"/>
        </w:rPr>
        <w:t>הזכיה</w:t>
      </w:r>
      <w:proofErr w:type="spellEnd"/>
      <w:r w:rsidRPr="007021DB">
        <w:rPr>
          <w:rFonts w:ascii="David" w:hAnsi="David" w:cs="David"/>
          <w:sz w:val="26"/>
          <w:szCs w:val="26"/>
          <w:rtl/>
          <w:lang w:bidi="he-IL"/>
        </w:rPr>
        <w:t>. בנוסף, לאחר שבוצע</w:t>
      </w:r>
      <w:r w:rsidR="00ED2D58">
        <w:rPr>
          <w:rFonts w:ascii="David" w:hAnsi="David" w:cs="David" w:hint="cs"/>
          <w:sz w:val="26"/>
          <w:szCs w:val="26"/>
          <w:rtl/>
          <w:lang w:bidi="he-IL"/>
        </w:rPr>
        <w:t>ה</w:t>
      </w:r>
      <w:r w:rsidRPr="007021DB">
        <w:rPr>
          <w:rFonts w:ascii="David" w:hAnsi="David" w:cs="David"/>
          <w:sz w:val="26"/>
          <w:szCs w:val="26"/>
          <w:rtl/>
          <w:lang w:bidi="he-IL"/>
        </w:rPr>
        <w:t xml:space="preserve"> בחינה מחודשת של המשיב, נוכו למערער עוד 2% נוספים בהתאם להוראות 121ב לפקודה בגין מס על הכנסות גבוהות (להלן: "</w:t>
      </w:r>
      <w:r w:rsidRPr="007021DB">
        <w:rPr>
          <w:rFonts w:ascii="David" w:hAnsi="David" w:cs="David"/>
          <w:b/>
          <w:bCs/>
          <w:sz w:val="26"/>
          <w:szCs w:val="26"/>
          <w:rtl/>
          <w:lang w:bidi="he-IL"/>
        </w:rPr>
        <w:t>מס יסף</w:t>
      </w:r>
      <w:r w:rsidRPr="007021DB">
        <w:rPr>
          <w:rFonts w:ascii="David" w:hAnsi="David" w:cs="David"/>
          <w:sz w:val="26"/>
          <w:szCs w:val="26"/>
          <w:rtl/>
          <w:lang w:bidi="he-IL"/>
        </w:rPr>
        <w:t>").</w:t>
      </w:r>
    </w:p>
    <w:p w14:paraId="040763CE"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2A8C935B" w14:textId="77777777" w:rsidR="007021DB" w:rsidRPr="007021DB" w:rsidRDefault="007021DB" w:rsidP="007021DB">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 xml:space="preserve">הסכום עליו קובל המערער במסגרת הערעור דנן עומד על סך של 13,583,114 שקלים, שהם 30% שנוכו מכספי </w:t>
      </w:r>
      <w:proofErr w:type="spellStart"/>
      <w:r w:rsidRPr="007021DB">
        <w:rPr>
          <w:rFonts w:ascii="David" w:hAnsi="David" w:cs="David"/>
          <w:sz w:val="26"/>
          <w:szCs w:val="26"/>
          <w:rtl/>
          <w:lang w:bidi="he-IL"/>
        </w:rPr>
        <w:t>הזכיה</w:t>
      </w:r>
      <w:proofErr w:type="spellEnd"/>
      <w:r w:rsidR="00ED2D58">
        <w:rPr>
          <w:rFonts w:ascii="David" w:hAnsi="David" w:cs="David" w:hint="cs"/>
          <w:sz w:val="26"/>
          <w:szCs w:val="26"/>
          <w:rtl/>
          <w:lang w:bidi="he-IL"/>
        </w:rPr>
        <w:t>, לשם גביית מס הכנסה</w:t>
      </w:r>
      <w:r w:rsidRPr="007021DB">
        <w:rPr>
          <w:rFonts w:ascii="David" w:hAnsi="David" w:cs="David"/>
          <w:sz w:val="26"/>
          <w:szCs w:val="26"/>
          <w:rtl/>
          <w:lang w:bidi="he-IL"/>
        </w:rPr>
        <w:t>.</w:t>
      </w:r>
    </w:p>
    <w:p w14:paraId="6DFDC267" w14:textId="77777777" w:rsidR="007021DB" w:rsidRPr="007021DB" w:rsidRDefault="007021DB" w:rsidP="007021DB">
      <w:pPr>
        <w:pStyle w:val="ae"/>
        <w:rPr>
          <w:rFonts w:ascii="David" w:hAnsi="David" w:cs="David"/>
          <w:sz w:val="26"/>
          <w:szCs w:val="26"/>
          <w:rtl/>
          <w:lang w:bidi="he-IL"/>
        </w:rPr>
      </w:pPr>
    </w:p>
    <w:p w14:paraId="3B17DA09" w14:textId="77777777" w:rsidR="007021DB" w:rsidRDefault="007021DB" w:rsidP="007021DB">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המערער הוא תושב רצועת עזה ואינו תושב ישראלי לצורכי מס.</w:t>
      </w:r>
    </w:p>
    <w:p w14:paraId="1D146569" w14:textId="77777777" w:rsidR="00875259" w:rsidRPr="00875259" w:rsidRDefault="00875259" w:rsidP="00875259">
      <w:pPr>
        <w:pStyle w:val="ae"/>
        <w:rPr>
          <w:rFonts w:ascii="David" w:hAnsi="David" w:cs="David"/>
          <w:sz w:val="26"/>
          <w:szCs w:val="26"/>
          <w:rtl/>
          <w:lang w:bidi="he-IL"/>
        </w:rPr>
      </w:pPr>
    </w:p>
    <w:p w14:paraId="32833454" w14:textId="77777777" w:rsidR="00875259" w:rsidRPr="007021DB" w:rsidRDefault="00875259" w:rsidP="00875259">
      <w:pPr>
        <w:pStyle w:val="ae"/>
        <w:widowControl w:val="0"/>
        <w:bidi/>
        <w:spacing w:after="360" w:line="360" w:lineRule="auto"/>
        <w:ind w:left="1080"/>
        <w:jc w:val="both"/>
        <w:rPr>
          <w:rFonts w:ascii="David" w:hAnsi="David" w:cs="David"/>
          <w:sz w:val="26"/>
          <w:szCs w:val="26"/>
          <w:lang w:bidi="he-IL"/>
        </w:rPr>
      </w:pPr>
    </w:p>
    <w:p w14:paraId="6E7B436B" w14:textId="77777777" w:rsidR="007021DB" w:rsidRPr="007021DB" w:rsidRDefault="007021DB" w:rsidP="007021DB">
      <w:pPr>
        <w:pStyle w:val="ae"/>
        <w:rPr>
          <w:rFonts w:ascii="David" w:hAnsi="David" w:cs="David"/>
          <w:sz w:val="26"/>
          <w:szCs w:val="26"/>
          <w:rtl/>
          <w:lang w:bidi="he-IL"/>
        </w:rPr>
      </w:pPr>
    </w:p>
    <w:p w14:paraId="09D655F6" w14:textId="77777777" w:rsidR="007021DB" w:rsidRPr="007021DB" w:rsidRDefault="007021DB" w:rsidP="007021DB">
      <w:pPr>
        <w:pStyle w:val="ae"/>
        <w:widowControl w:val="0"/>
        <w:numPr>
          <w:ilvl w:val="0"/>
          <w:numId w:val="1"/>
        </w:numPr>
        <w:bidi/>
        <w:spacing w:after="360" w:line="360" w:lineRule="auto"/>
        <w:jc w:val="both"/>
        <w:rPr>
          <w:rFonts w:ascii="David" w:hAnsi="David" w:cs="David"/>
          <w:sz w:val="26"/>
          <w:szCs w:val="26"/>
          <w:lang w:bidi="he-IL"/>
        </w:rPr>
      </w:pPr>
      <w:r w:rsidRPr="007021DB">
        <w:rPr>
          <w:rFonts w:ascii="David" w:hAnsi="David" w:cs="David"/>
          <w:b/>
          <w:bCs/>
          <w:sz w:val="26"/>
          <w:szCs w:val="26"/>
          <w:u w:val="single"/>
          <w:rtl/>
          <w:lang w:bidi="he-IL"/>
        </w:rPr>
        <w:t>ההליכים הנוגעים לעניין עד כה</w:t>
      </w:r>
    </w:p>
    <w:p w14:paraId="7EAC7C08" w14:textId="77777777" w:rsidR="007021DB" w:rsidRPr="007021DB" w:rsidRDefault="007021DB" w:rsidP="00ED2D58">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 xml:space="preserve">המערער טען כי אינו צריך לשלם מס </w:t>
      </w:r>
      <w:r w:rsidR="00ED2D58">
        <w:rPr>
          <w:rFonts w:ascii="David" w:hAnsi="David" w:cs="David" w:hint="cs"/>
          <w:sz w:val="26"/>
          <w:szCs w:val="26"/>
          <w:rtl/>
          <w:lang w:bidi="he-IL"/>
        </w:rPr>
        <w:t>הכנסה</w:t>
      </w:r>
      <w:r w:rsidRPr="007021DB">
        <w:rPr>
          <w:rFonts w:ascii="David" w:hAnsi="David" w:cs="David"/>
          <w:sz w:val="26"/>
          <w:szCs w:val="26"/>
          <w:rtl/>
          <w:lang w:bidi="he-IL"/>
        </w:rPr>
        <w:t xml:space="preserve"> בשיעור שנקבע לו ובשל כך, בתחילה הגיש  ערעור לבית משפט </w:t>
      </w:r>
      <w:r w:rsidR="00ED2D58">
        <w:rPr>
          <w:rFonts w:ascii="David" w:hAnsi="David" w:cs="David" w:hint="cs"/>
          <w:sz w:val="26"/>
          <w:szCs w:val="26"/>
          <w:rtl/>
          <w:lang w:bidi="he-IL"/>
        </w:rPr>
        <w:t xml:space="preserve">זה </w:t>
      </w:r>
      <w:r w:rsidRPr="007021DB">
        <w:rPr>
          <w:rFonts w:ascii="David" w:hAnsi="David" w:cs="David"/>
          <w:sz w:val="26"/>
          <w:szCs w:val="26"/>
          <w:rtl/>
          <w:lang w:bidi="he-IL"/>
        </w:rPr>
        <w:t>בקשר לכך. במסגרת הערעור, הסתבר כי המערער כלל לא מיצה את ההליכים מול המשיב כנדרש בדין ולכן, ניתן פסק דין בהסכמת הצדדים, הקובע כי המערער יגיש בקשה להחזר מס לפי סעיף 160 לפקודה וישמור על זכויותיו לאחר החלטת המשיב.</w:t>
      </w:r>
    </w:p>
    <w:p w14:paraId="3A1F2B8E"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58D6A8BF" w14:textId="77777777" w:rsidR="007021DB" w:rsidRPr="007021DB" w:rsidRDefault="007021DB" w:rsidP="007021DB">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 xml:space="preserve">המערער הגיש כאמור בקשה להחזר מס לשנת 2015 בהתאם להוראות סעיף 160 לפקודה ובמסגרתה, ביקש החזר </w:t>
      </w:r>
      <w:r w:rsidRPr="007021DB">
        <w:rPr>
          <w:rFonts w:ascii="David" w:hAnsi="David" w:cs="David"/>
          <w:sz w:val="26"/>
          <w:szCs w:val="26"/>
          <w:u w:val="single"/>
          <w:rtl/>
          <w:lang w:bidi="he-IL"/>
        </w:rPr>
        <w:t>מלוא</w:t>
      </w:r>
      <w:r w:rsidRPr="007021DB">
        <w:rPr>
          <w:rFonts w:ascii="David" w:hAnsi="David" w:cs="David"/>
          <w:sz w:val="26"/>
          <w:szCs w:val="26"/>
          <w:rtl/>
          <w:lang w:bidi="he-IL"/>
        </w:rPr>
        <w:t xml:space="preserve"> סכום המס שנוכה לו במקור. טענתו של המערער הייתה כי הוא אינו חב במס</w:t>
      </w:r>
      <w:r w:rsidR="00ED2D58">
        <w:rPr>
          <w:rFonts w:ascii="David" w:hAnsi="David" w:cs="David" w:hint="cs"/>
          <w:sz w:val="26"/>
          <w:szCs w:val="26"/>
          <w:rtl/>
          <w:lang w:bidi="he-IL"/>
        </w:rPr>
        <w:t xml:space="preserve"> הכנסה</w:t>
      </w:r>
      <w:r w:rsidRPr="007021DB">
        <w:rPr>
          <w:rFonts w:ascii="David" w:hAnsi="David" w:cs="David"/>
          <w:sz w:val="26"/>
          <w:szCs w:val="26"/>
          <w:rtl/>
          <w:lang w:bidi="he-IL"/>
        </w:rPr>
        <w:t xml:space="preserve"> בגין כספי </w:t>
      </w:r>
      <w:r w:rsidR="00C771CD" w:rsidRPr="007021DB">
        <w:rPr>
          <w:rFonts w:ascii="David" w:hAnsi="David" w:cs="David" w:hint="cs"/>
          <w:sz w:val="26"/>
          <w:szCs w:val="26"/>
          <w:rtl/>
          <w:lang w:bidi="he-IL"/>
        </w:rPr>
        <w:t>הזכיי</w:t>
      </w:r>
      <w:r w:rsidR="00C771CD" w:rsidRPr="007021DB">
        <w:rPr>
          <w:rFonts w:ascii="David" w:hAnsi="David" w:cs="David" w:hint="eastAsia"/>
          <w:sz w:val="26"/>
          <w:szCs w:val="26"/>
          <w:rtl/>
          <w:lang w:bidi="he-IL"/>
        </w:rPr>
        <w:t>ה</w:t>
      </w:r>
      <w:r w:rsidRPr="007021DB">
        <w:rPr>
          <w:rFonts w:ascii="David" w:hAnsi="David" w:cs="David"/>
          <w:sz w:val="26"/>
          <w:szCs w:val="26"/>
          <w:rtl/>
          <w:lang w:bidi="he-IL"/>
        </w:rPr>
        <w:t xml:space="preserve">. </w:t>
      </w:r>
    </w:p>
    <w:p w14:paraId="3E149023"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35EA6602" w14:textId="77777777" w:rsidR="007021DB" w:rsidRPr="007021DB" w:rsidRDefault="007021DB" w:rsidP="00ED2D58">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 xml:space="preserve">במסגרת הדיון שנערך, עלה כי לאור המצב החוקי ששרר באותה העת, לא נוכה במקור סכום מס היסף שהיה המערער </w:t>
      </w:r>
      <w:r w:rsidR="00ED2D58">
        <w:rPr>
          <w:rFonts w:ascii="David" w:hAnsi="David" w:cs="David" w:hint="cs"/>
          <w:sz w:val="26"/>
          <w:szCs w:val="26"/>
          <w:rtl/>
          <w:lang w:bidi="he-IL"/>
        </w:rPr>
        <w:t xml:space="preserve">מחויב </w:t>
      </w:r>
      <w:r w:rsidRPr="007021DB">
        <w:rPr>
          <w:rFonts w:ascii="David" w:hAnsi="David" w:cs="David"/>
          <w:sz w:val="26"/>
          <w:szCs w:val="26"/>
          <w:rtl/>
          <w:lang w:bidi="he-IL"/>
        </w:rPr>
        <w:t>בתשלו</w:t>
      </w:r>
      <w:r w:rsidR="00ED2D58">
        <w:rPr>
          <w:rFonts w:ascii="David" w:hAnsi="David" w:cs="David" w:hint="cs"/>
          <w:sz w:val="26"/>
          <w:szCs w:val="26"/>
          <w:rtl/>
          <w:lang w:bidi="he-IL"/>
        </w:rPr>
        <w:t>מו</w:t>
      </w:r>
      <w:r w:rsidRPr="007021DB">
        <w:rPr>
          <w:rFonts w:ascii="David" w:hAnsi="David" w:cs="David"/>
          <w:sz w:val="26"/>
          <w:szCs w:val="26"/>
          <w:rtl/>
          <w:lang w:bidi="he-IL"/>
        </w:rPr>
        <w:t xml:space="preserve"> ונקבע כי עליו לשלמו גם כן. </w:t>
      </w:r>
    </w:p>
    <w:p w14:paraId="7C5825A7"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5CA96A15" w14:textId="77777777" w:rsidR="007021DB" w:rsidRPr="007021DB" w:rsidRDefault="007021DB" w:rsidP="007021DB">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בהמשך לכך, קיים המשיב דיון, במסגרתו נשמעו טענותיו של המערער, אשר היה מיוצג על-ידי בא כוחו</w:t>
      </w:r>
      <w:r w:rsidR="00ED2D58">
        <w:rPr>
          <w:rFonts w:ascii="David" w:hAnsi="David" w:cs="David" w:hint="cs"/>
          <w:sz w:val="26"/>
          <w:szCs w:val="26"/>
          <w:rtl/>
          <w:lang w:bidi="he-IL"/>
        </w:rPr>
        <w:t>,</w:t>
      </w:r>
      <w:r w:rsidRPr="007021DB">
        <w:rPr>
          <w:rFonts w:ascii="David" w:hAnsi="David" w:cs="David"/>
          <w:sz w:val="26"/>
          <w:szCs w:val="26"/>
          <w:rtl/>
          <w:lang w:bidi="he-IL"/>
        </w:rPr>
        <w:t xml:space="preserve"> ובסופו של דבר החליט המשיב לדחות את בקשת המערער להחזר מס בהתאם להוראות סעיף 160 לפקודה.</w:t>
      </w:r>
    </w:p>
    <w:p w14:paraId="6A578F8D"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3C2B11F4" w14:textId="77777777" w:rsidR="007021DB" w:rsidRPr="007021DB" w:rsidRDefault="007021DB" w:rsidP="007021DB">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בעקבות החלטת המשיב, הגיש המערער את הערעור דנן.</w:t>
      </w:r>
    </w:p>
    <w:p w14:paraId="5B5C8F89" w14:textId="77777777" w:rsidR="007021DB" w:rsidRPr="007021DB" w:rsidRDefault="007021DB" w:rsidP="007021DB">
      <w:pPr>
        <w:pStyle w:val="ae"/>
        <w:widowControl w:val="0"/>
        <w:bidi/>
        <w:spacing w:after="0" w:line="360" w:lineRule="auto"/>
        <w:ind w:left="1077"/>
        <w:jc w:val="both"/>
        <w:rPr>
          <w:rFonts w:ascii="David" w:hAnsi="David" w:cs="David"/>
          <w:sz w:val="26"/>
          <w:szCs w:val="26"/>
          <w:lang w:bidi="he-IL"/>
        </w:rPr>
      </w:pPr>
    </w:p>
    <w:p w14:paraId="08FB6911" w14:textId="77777777" w:rsidR="007021DB" w:rsidRPr="007021DB" w:rsidRDefault="007021DB" w:rsidP="007021DB">
      <w:pPr>
        <w:pStyle w:val="ae"/>
        <w:widowControl w:val="0"/>
        <w:numPr>
          <w:ilvl w:val="0"/>
          <w:numId w:val="2"/>
        </w:numPr>
        <w:bidi/>
        <w:spacing w:after="0" w:line="360" w:lineRule="auto"/>
        <w:ind w:left="1077"/>
        <w:jc w:val="both"/>
        <w:rPr>
          <w:rFonts w:ascii="David" w:hAnsi="David" w:cs="David"/>
          <w:sz w:val="26"/>
          <w:szCs w:val="26"/>
          <w:lang w:bidi="he-IL"/>
        </w:rPr>
      </w:pPr>
      <w:r w:rsidRPr="007021DB">
        <w:rPr>
          <w:rFonts w:ascii="David" w:hAnsi="David" w:cs="David"/>
          <w:sz w:val="26"/>
          <w:szCs w:val="26"/>
          <w:rtl/>
          <w:lang w:bidi="he-IL"/>
        </w:rPr>
        <w:t>במסגרת הדיון הראשון שנערך, הסכימו הצדדים כדלקמן (פרוטוקול, ע' 1, ש' 30-28):</w:t>
      </w:r>
    </w:p>
    <w:p w14:paraId="2FFA730A" w14:textId="77777777" w:rsidR="007021DB" w:rsidRPr="007021DB" w:rsidRDefault="007021DB" w:rsidP="007021DB">
      <w:pPr>
        <w:pStyle w:val="ae"/>
        <w:widowControl w:val="0"/>
        <w:bidi/>
        <w:spacing w:after="360" w:line="360" w:lineRule="auto"/>
        <w:ind w:left="1643" w:right="709"/>
        <w:jc w:val="both"/>
        <w:rPr>
          <w:rFonts w:ascii="David" w:hAnsi="David" w:cs="David"/>
          <w:sz w:val="26"/>
          <w:szCs w:val="26"/>
          <w:lang w:bidi="he-IL"/>
        </w:rPr>
      </w:pPr>
      <w:r w:rsidRPr="007021DB">
        <w:rPr>
          <w:rFonts w:ascii="David" w:hAnsi="David" w:cs="David"/>
          <w:sz w:val="26"/>
          <w:szCs w:val="26"/>
          <w:rtl/>
          <w:lang w:bidi="he-IL"/>
        </w:rPr>
        <w:t>"</w:t>
      </w:r>
      <w:r w:rsidRPr="007021DB">
        <w:rPr>
          <w:rFonts w:ascii="David" w:hAnsi="David" w:cs="David"/>
          <w:b/>
          <w:bCs/>
          <w:sz w:val="26"/>
          <w:szCs w:val="26"/>
          <w:rtl/>
          <w:lang w:bidi="he-IL"/>
        </w:rPr>
        <w:t>ב"כ הצדדים: אין צורך לנהל הוכחות בתיק זה הואיל והמחלוקת היא משפטית ולא עובדתית. אנו ננסה להגיע להסכמה על רשימת עובדות מוסכמות שתוגש לבית המשפט ועל בסיס כך יוגשו הסיכומים בכתב</w:t>
      </w:r>
      <w:r w:rsidRPr="007021DB">
        <w:rPr>
          <w:rFonts w:ascii="David" w:hAnsi="David" w:cs="David"/>
          <w:sz w:val="26"/>
          <w:szCs w:val="26"/>
          <w:rtl/>
          <w:lang w:bidi="he-IL"/>
        </w:rPr>
        <w:t>".</w:t>
      </w:r>
    </w:p>
    <w:p w14:paraId="361C1383"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6E254A00" w14:textId="77777777" w:rsidR="007021DB" w:rsidRPr="007021DB" w:rsidRDefault="007021DB" w:rsidP="00ED2D58">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ביום 31.1.19 הגיש ב"כ המערער בקשה שכותרתה: "</w:t>
      </w:r>
      <w:r w:rsidRPr="007021DB">
        <w:rPr>
          <w:rFonts w:ascii="David" w:hAnsi="David" w:cs="David"/>
          <w:b/>
          <w:bCs/>
          <w:sz w:val="26"/>
          <w:szCs w:val="26"/>
          <w:rtl/>
          <w:lang w:bidi="he-IL"/>
        </w:rPr>
        <w:t>בקשה להמשך ההליכים וקביעת מועדים לתצהירים ומועד הוכחות</w:t>
      </w:r>
      <w:r w:rsidRPr="007021DB">
        <w:rPr>
          <w:rFonts w:ascii="David" w:hAnsi="David" w:cs="David"/>
          <w:sz w:val="26"/>
          <w:szCs w:val="26"/>
          <w:rtl/>
          <w:lang w:bidi="he-IL"/>
        </w:rPr>
        <w:t xml:space="preserve">". במסגרת הבקשה, הודיע המערער כי הצדדים לא הצליחו להגיע להסכמות כלשהם ולפיכך, יש צורך בהגשת תצהירים </w:t>
      </w:r>
      <w:r w:rsidRPr="007021DB">
        <w:rPr>
          <w:rFonts w:ascii="David" w:hAnsi="David" w:cs="David"/>
          <w:sz w:val="26"/>
          <w:szCs w:val="26"/>
          <w:rtl/>
          <w:lang w:bidi="he-IL"/>
        </w:rPr>
        <w:lastRenderedPageBreak/>
        <w:t>וקביעת דיוני הוכחות.</w:t>
      </w:r>
    </w:p>
    <w:p w14:paraId="2794D1CB"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134132E3" w14:textId="77777777" w:rsidR="007021DB" w:rsidRPr="007021DB" w:rsidRDefault="007021DB" w:rsidP="007021DB">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עוד באותו היום ניתנה החלטה הקובעת מועדי הגשת תצהירים ומועד לקדם משפט מסכם.</w:t>
      </w:r>
    </w:p>
    <w:p w14:paraId="4749F5A6"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7B61AA35" w14:textId="77777777" w:rsidR="007021DB" w:rsidRPr="007021DB" w:rsidRDefault="007021DB" w:rsidP="007021DB">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מטעם המערער הוגש תצהיר שלו (ביום 17.3.19).</w:t>
      </w:r>
    </w:p>
    <w:p w14:paraId="6CCBA957"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5C2C52A2" w14:textId="77777777" w:rsidR="007021DB" w:rsidRPr="007021DB" w:rsidRDefault="007021DB" w:rsidP="00ED2D58">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ביום 8.4.19 הגיש המשיב "הודעה על פתיחת שומה" ובמסגרתה ביקש גם לעכב גם את ההליכים דנן. המדובר בכך שבעקבות הדיון שהתקיים בעניינו של המערער, התקיים שימוע בפני המנהל (כהגדרתו בסעיף 147 לפקודה) לפני פתיחת השומה ובהמשך לכך, החליט המנהל על פתיחת השומה בהתאם לסמכותו לפי סעיף 147 לפקודה. לאחר הדברים האלה, ה</w:t>
      </w:r>
      <w:r w:rsidR="00ED2D58">
        <w:rPr>
          <w:rFonts w:ascii="David" w:hAnsi="David" w:cs="David"/>
          <w:sz w:val="26"/>
          <w:szCs w:val="26"/>
          <w:rtl/>
          <w:lang w:bidi="he-IL"/>
        </w:rPr>
        <w:t>תקיים במשרד המשיב שימוע בנוכחות</w:t>
      </w:r>
      <w:r w:rsidRPr="007021DB">
        <w:rPr>
          <w:rFonts w:ascii="David" w:hAnsi="David" w:cs="David"/>
          <w:sz w:val="26"/>
          <w:szCs w:val="26"/>
          <w:rtl/>
          <w:lang w:bidi="he-IL"/>
        </w:rPr>
        <w:t xml:space="preserve"> בא כוחו, שבו ניתנה לו הזדמנות להשמיע את טענותיו ולאחר מכן, הוצא למערער צו "חדש".</w:t>
      </w:r>
    </w:p>
    <w:p w14:paraId="2B6AFD93"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428EB962" w14:textId="77777777" w:rsidR="007021DB" w:rsidRPr="007021DB" w:rsidRDefault="007021DB" w:rsidP="007021DB">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 xml:space="preserve">במסגרת הצו החדש, נקבע כי על המערער לשלם 30% מס </w:t>
      </w:r>
      <w:r w:rsidR="00ED2D58">
        <w:rPr>
          <w:rFonts w:ascii="David" w:hAnsi="David" w:cs="David" w:hint="cs"/>
          <w:sz w:val="26"/>
          <w:szCs w:val="26"/>
          <w:rtl/>
          <w:lang w:bidi="he-IL"/>
        </w:rPr>
        <w:t xml:space="preserve">הכנסה </w:t>
      </w:r>
      <w:r w:rsidRPr="007021DB">
        <w:rPr>
          <w:rFonts w:ascii="David" w:hAnsi="David" w:cs="David"/>
          <w:sz w:val="26"/>
          <w:szCs w:val="26"/>
          <w:rtl/>
          <w:lang w:bidi="he-IL"/>
        </w:rPr>
        <w:t xml:space="preserve">על כספי </w:t>
      </w:r>
      <w:proofErr w:type="spellStart"/>
      <w:r w:rsidRPr="007021DB">
        <w:rPr>
          <w:rFonts w:ascii="David" w:hAnsi="David" w:cs="David"/>
          <w:sz w:val="26"/>
          <w:szCs w:val="26"/>
          <w:rtl/>
          <w:lang w:bidi="he-IL"/>
        </w:rPr>
        <w:t>הזכיה</w:t>
      </w:r>
      <w:proofErr w:type="spellEnd"/>
      <w:r w:rsidRPr="007021DB">
        <w:rPr>
          <w:rFonts w:ascii="David" w:hAnsi="David" w:cs="David"/>
          <w:sz w:val="26"/>
          <w:szCs w:val="26"/>
          <w:rtl/>
          <w:lang w:bidi="he-IL"/>
        </w:rPr>
        <w:t xml:space="preserve"> וכן 2% נוספים בגין מס היסף.</w:t>
      </w:r>
    </w:p>
    <w:p w14:paraId="786ABB4A"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31A00C28" w14:textId="77777777" w:rsidR="007021DB" w:rsidRPr="007021DB" w:rsidRDefault="007021DB" w:rsidP="007021DB">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ביום 1.7.19, הגיש המשיב הודעת עדכון בנוגע להוצאת השומה לפי סעיף 147 לפקודה. בהמשך לכך, ניתנה למערער האפשרות להגיב לשומה המעודכנת שהוצאה לו, והוא עשה כן ביום 4.8.19.</w:t>
      </w:r>
    </w:p>
    <w:p w14:paraId="63FF2130"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4DA9134A" w14:textId="77777777" w:rsidR="007021DB" w:rsidRPr="007021DB" w:rsidRDefault="007021DB" w:rsidP="00ED2D58">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בהמשך לכך, נקבע דיון בנוכחות הצדדים ובסופו הוצעה לצדדים הצעה לסיום ההליך דנן (פרוטוקול, ע' 4, ש' 3-1). הצדדים הודיעו (ב-17.12.19 וב-18.12.19) על כך שהם אינם מקבלים את ההצעה.</w:t>
      </w:r>
    </w:p>
    <w:p w14:paraId="6A55EA74"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7D10458B" w14:textId="77777777" w:rsidR="007021DB" w:rsidRPr="007021DB" w:rsidRDefault="007021DB" w:rsidP="00ED2D58">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 xml:space="preserve">המערער גם הגיש (ב-17.12.19) "בקשה לחייב את המשיב למסור מידע רלוונטי לתביעה". בהמשך לכך, </w:t>
      </w:r>
      <w:proofErr w:type="spellStart"/>
      <w:r w:rsidRPr="007021DB">
        <w:rPr>
          <w:rFonts w:ascii="David" w:hAnsi="David" w:cs="David"/>
          <w:sz w:val="26"/>
          <w:szCs w:val="26"/>
          <w:rtl/>
          <w:lang w:bidi="he-IL"/>
        </w:rPr>
        <w:t>ולארכות</w:t>
      </w:r>
      <w:proofErr w:type="spellEnd"/>
      <w:r w:rsidRPr="007021DB">
        <w:rPr>
          <w:rFonts w:ascii="David" w:hAnsi="David" w:cs="David"/>
          <w:sz w:val="26"/>
          <w:szCs w:val="26"/>
          <w:rtl/>
          <w:lang w:bidi="he-IL"/>
        </w:rPr>
        <w:t xml:space="preserve"> שביקש המשיב, הוא הגיש (ב-18.2.19) תגובה לבקשה למסירת פרטים, אשר גובתה בתצהירה של הגב' נטלי תורג'מן.</w:t>
      </w:r>
    </w:p>
    <w:p w14:paraId="7448EACA"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2C644CFB" w14:textId="77777777" w:rsidR="007021DB" w:rsidRPr="007021DB" w:rsidRDefault="007021DB" w:rsidP="007021DB">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באותו המועד (18.2.20) הוגש גם תצהירו של דרור גיל, שהוא רכז חולית שומה בפקיד שומה ירושלים 2.</w:t>
      </w:r>
    </w:p>
    <w:p w14:paraId="1EEA0DEE"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142527A6" w14:textId="77777777" w:rsidR="007021DB" w:rsidRPr="007021DB" w:rsidRDefault="007021DB" w:rsidP="007021DB">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בדיון קדם המשפט המסכם (שהתקיים ביום 23.2.20), נקבע דיון הוכחות (ל-10.6.20), אשר במסגרתו היו צריכים להיחקר כלל המצהירים.</w:t>
      </w:r>
    </w:p>
    <w:p w14:paraId="706ECA04"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6548FCED" w14:textId="77777777" w:rsidR="007021DB" w:rsidRPr="007021DB" w:rsidRDefault="007021DB" w:rsidP="007021DB">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אלא שבעקבות התפרצות נגיף הקורונה, לא ניתן היה לקיים דיון הוכחות בנוכחות המערער ובסופו של דבר הודיעו הצדדים (ב-7.11.21) על הסדר דיוני ובקשה לביטול דיון ההוכחות.</w:t>
      </w:r>
    </w:p>
    <w:p w14:paraId="3C1C0B81"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1AF233ED" w14:textId="77777777" w:rsidR="007021DB" w:rsidRPr="007021DB" w:rsidRDefault="007021DB" w:rsidP="007021DB">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בהמשך לאמור, השלימו הצדדים את הגשת הסיכומים.</w:t>
      </w:r>
    </w:p>
    <w:p w14:paraId="58BEB954"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27D8A821" w14:textId="77777777" w:rsidR="007021DB" w:rsidRPr="007021DB" w:rsidRDefault="007021DB" w:rsidP="00771E7C">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 xml:space="preserve">כעת נסקור את טענות הצדדים ובהמשך לכך, נדון בטענותיהם ונכריע </w:t>
      </w:r>
      <w:r w:rsidR="00771E7C">
        <w:rPr>
          <w:rFonts w:ascii="David" w:hAnsi="David" w:cs="David" w:hint="cs"/>
          <w:sz w:val="26"/>
          <w:szCs w:val="26"/>
          <w:rtl/>
          <w:lang w:bidi="he-IL"/>
        </w:rPr>
        <w:t>בערעור</w:t>
      </w:r>
      <w:r w:rsidRPr="007021DB">
        <w:rPr>
          <w:rFonts w:ascii="David" w:hAnsi="David" w:cs="David"/>
          <w:sz w:val="26"/>
          <w:szCs w:val="26"/>
          <w:rtl/>
          <w:lang w:bidi="he-IL"/>
        </w:rPr>
        <w:t>.</w:t>
      </w:r>
    </w:p>
    <w:p w14:paraId="3DB6C0F2" w14:textId="77777777" w:rsidR="007021DB" w:rsidRPr="007021DB" w:rsidRDefault="007021DB" w:rsidP="007021DB">
      <w:pPr>
        <w:pStyle w:val="ae"/>
        <w:rPr>
          <w:rFonts w:ascii="David" w:hAnsi="David" w:cs="David"/>
          <w:sz w:val="26"/>
          <w:szCs w:val="26"/>
          <w:rtl/>
          <w:lang w:bidi="he-IL"/>
        </w:rPr>
      </w:pPr>
    </w:p>
    <w:p w14:paraId="2714DE48" w14:textId="77777777" w:rsidR="007021DB" w:rsidRPr="007021DB" w:rsidRDefault="007021DB" w:rsidP="007021DB">
      <w:pPr>
        <w:pStyle w:val="ae"/>
        <w:widowControl w:val="0"/>
        <w:numPr>
          <w:ilvl w:val="0"/>
          <w:numId w:val="1"/>
        </w:numPr>
        <w:bidi/>
        <w:spacing w:after="360" w:line="360" w:lineRule="auto"/>
        <w:jc w:val="both"/>
        <w:rPr>
          <w:rFonts w:ascii="David" w:hAnsi="David" w:cs="David"/>
          <w:sz w:val="26"/>
          <w:szCs w:val="26"/>
          <w:rtl/>
          <w:lang w:bidi="he-IL"/>
        </w:rPr>
      </w:pPr>
      <w:r w:rsidRPr="007021DB">
        <w:rPr>
          <w:rFonts w:ascii="David" w:hAnsi="David" w:cs="David"/>
          <w:bCs/>
          <w:sz w:val="26"/>
          <w:szCs w:val="26"/>
          <w:u w:val="single"/>
          <w:rtl/>
          <w:lang w:bidi="he-IL"/>
        </w:rPr>
        <w:t>טענות המערער</w:t>
      </w:r>
    </w:p>
    <w:p w14:paraId="66A025E1" w14:textId="77777777" w:rsidR="007021DB" w:rsidRPr="007021DB" w:rsidRDefault="007021DB" w:rsidP="007021DB">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המערער טוען כי בשל היותו תושב הרשות הפלסטינאית, שאין לו כל עסק או פעילות בישראל, הוא זכאי לפטור מלא מתשלום מס בישראל. לטענת המערער, המסקנה העולה מסעיף 2 לנספח החמישי (פרוטוקול בנושא יחסים כלכליים) להסכם הביניים בין ישראל לרשות הפלסטינאית (להלן: "</w:t>
      </w:r>
      <w:r w:rsidRPr="007021DB">
        <w:rPr>
          <w:rFonts w:ascii="David" w:hAnsi="David" w:cs="David"/>
          <w:bCs/>
          <w:sz w:val="26"/>
          <w:szCs w:val="26"/>
          <w:rtl/>
          <w:lang w:bidi="he-IL"/>
        </w:rPr>
        <w:t>פרוטוקול פריז</w:t>
      </w:r>
      <w:r w:rsidRPr="007021DB">
        <w:rPr>
          <w:rFonts w:ascii="David" w:hAnsi="David" w:cs="David"/>
          <w:sz w:val="26"/>
          <w:szCs w:val="26"/>
          <w:rtl/>
          <w:lang w:bidi="he-IL"/>
        </w:rPr>
        <w:t>"),</w:t>
      </w:r>
      <w:r w:rsidR="00771E7C">
        <w:rPr>
          <w:rFonts w:ascii="David" w:hAnsi="David" w:cs="David" w:hint="cs"/>
          <w:sz w:val="26"/>
          <w:szCs w:val="26"/>
          <w:rtl/>
          <w:lang w:bidi="he-IL"/>
        </w:rPr>
        <w:t xml:space="preserve"> היא</w:t>
      </w:r>
      <w:r w:rsidRPr="007021DB">
        <w:rPr>
          <w:rFonts w:ascii="David" w:hAnsi="David" w:cs="David"/>
          <w:sz w:val="26"/>
          <w:szCs w:val="26"/>
          <w:rtl/>
          <w:lang w:bidi="he-IL"/>
        </w:rPr>
        <w:t xml:space="preserve"> כי הצדדים לפרוטוקול פריז קבעו במסגרתו כי ישראל תמסה פלסטינאים רק מפעילות כלכלית שהם מבצעים בישראל ותעביר לרשות הפלסטינאית 75% מהמס שתגבה. בענייננו, משהמערער לא מקיים כל פעילות כלכלית בישראל, הוא אינו חייב במס על זכייתו בטוטו, שאין חולק כי אינה מהווה פעילות כלכלית ובמסגרת ההסכם, נקבע כי אין </w:t>
      </w:r>
      <w:proofErr w:type="spellStart"/>
      <w:r w:rsidRPr="007021DB">
        <w:rPr>
          <w:rFonts w:ascii="David" w:hAnsi="David" w:cs="David"/>
          <w:sz w:val="26"/>
          <w:szCs w:val="26"/>
          <w:rtl/>
          <w:lang w:bidi="he-IL"/>
        </w:rPr>
        <w:t>למסותו</w:t>
      </w:r>
      <w:proofErr w:type="spellEnd"/>
      <w:r w:rsidRPr="007021DB">
        <w:rPr>
          <w:rFonts w:ascii="David" w:hAnsi="David" w:cs="David"/>
          <w:sz w:val="26"/>
          <w:szCs w:val="26"/>
          <w:rtl/>
          <w:lang w:bidi="he-IL"/>
        </w:rPr>
        <w:t xml:space="preserve"> בגין זכייתו.</w:t>
      </w:r>
    </w:p>
    <w:p w14:paraId="28DA0BA5"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4FFD89CA" w14:textId="77777777" w:rsidR="007021DB" w:rsidRPr="007021DB" w:rsidRDefault="007021DB" w:rsidP="007021DB">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 xml:space="preserve">המערער טוען </w:t>
      </w:r>
      <w:r w:rsidRPr="007021DB">
        <w:rPr>
          <w:rFonts w:ascii="David" w:hAnsi="David" w:cs="David"/>
          <w:sz w:val="26"/>
          <w:szCs w:val="26"/>
          <w:u w:val="single"/>
          <w:rtl/>
          <w:lang w:bidi="he-IL"/>
        </w:rPr>
        <w:t>לחילופין</w:t>
      </w:r>
      <w:r w:rsidRPr="007021DB">
        <w:rPr>
          <w:rFonts w:ascii="David" w:hAnsi="David" w:cs="David"/>
          <w:sz w:val="26"/>
          <w:szCs w:val="26"/>
          <w:rtl/>
          <w:lang w:bidi="he-IL"/>
        </w:rPr>
        <w:t xml:space="preserve"> כי יש לסווג את הכנסתו מזכייתו כרווח הון החייב ב-25% בלבד. בקשר לכך, המערער טוען כי מקור החיוב בסעיף 124ב לפקודה מהווה סעיף "קשה ביותר מבחינת תוצאות המס שלו...". וכן כי "הוראות אלו חריגות בנוף המס הישראלי ומטילות מס שלא על הרווח האמיתי ועל כן יש לפרשו בצמצום ככל האפשר...".</w:t>
      </w:r>
    </w:p>
    <w:p w14:paraId="4C9BE3D9"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1380D107" w14:textId="77777777" w:rsidR="007021DB" w:rsidRPr="007021DB" w:rsidRDefault="007021DB" w:rsidP="007021DB">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 xml:space="preserve">המערער טוען כי מקור החיוב של הגרלות בישראל נוגע למקרים בהם אין לייחסם להכנסה "החייבת במס לפי מקור אחר בפקודה" וכי בעניינו כרטיס ההגרלה הוא "נכס" והפרס הוא "רווח הון" החייב ב-25% מס ולכן אין </w:t>
      </w:r>
      <w:proofErr w:type="spellStart"/>
      <w:r w:rsidRPr="007021DB">
        <w:rPr>
          <w:rFonts w:ascii="David" w:hAnsi="David" w:cs="David"/>
          <w:sz w:val="26"/>
          <w:szCs w:val="26"/>
          <w:rtl/>
          <w:lang w:bidi="he-IL"/>
        </w:rPr>
        <w:t>למסותו</w:t>
      </w:r>
      <w:proofErr w:type="spellEnd"/>
      <w:r w:rsidRPr="007021DB">
        <w:rPr>
          <w:rFonts w:ascii="David" w:hAnsi="David" w:cs="David"/>
          <w:sz w:val="26"/>
          <w:szCs w:val="26"/>
          <w:rtl/>
          <w:lang w:bidi="he-IL"/>
        </w:rPr>
        <w:t xml:space="preserve"> ב-35% (במועד </w:t>
      </w:r>
      <w:r w:rsidRPr="007021DB">
        <w:rPr>
          <w:rFonts w:ascii="David" w:hAnsi="David" w:cs="David"/>
          <w:sz w:val="26"/>
          <w:szCs w:val="26"/>
          <w:rtl/>
          <w:lang w:bidi="he-IL"/>
        </w:rPr>
        <w:lastRenderedPageBreak/>
        <w:t>הרלוונטי לענייננו שיעור המס עמד על 30%) כפי שטוען המשיב.</w:t>
      </w:r>
    </w:p>
    <w:p w14:paraId="4FDFC12C"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5602A7B3" w14:textId="77777777" w:rsidR="007021DB" w:rsidRPr="007021DB" w:rsidRDefault="007021DB" w:rsidP="007021DB">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 xml:space="preserve">המערער טוען כי </w:t>
      </w:r>
      <w:r w:rsidR="00771E7C">
        <w:rPr>
          <w:rFonts w:ascii="David" w:hAnsi="David" w:cs="David" w:hint="cs"/>
          <w:sz w:val="26"/>
          <w:szCs w:val="26"/>
          <w:rtl/>
          <w:lang w:bidi="he-IL"/>
        </w:rPr>
        <w:t>ב</w:t>
      </w:r>
      <w:r w:rsidRPr="007021DB">
        <w:rPr>
          <w:rFonts w:ascii="David" w:hAnsi="David" w:cs="David"/>
          <w:sz w:val="26"/>
          <w:szCs w:val="26"/>
          <w:rtl/>
          <w:lang w:bidi="he-IL"/>
        </w:rPr>
        <w:t>פתיחת השומה בהתאם לסעיף 147 רק לאחר הגשת הערעור ולמרות הזמן הרב שחלף, פעל המשיב בכדי "</w:t>
      </w:r>
      <w:r w:rsidRPr="007021DB">
        <w:rPr>
          <w:rFonts w:ascii="David" w:hAnsi="David" w:cs="David"/>
          <w:b/>
          <w:sz w:val="26"/>
          <w:szCs w:val="26"/>
          <w:rtl/>
          <w:lang w:bidi="he-IL"/>
        </w:rPr>
        <w:t xml:space="preserve">לתת מכה תחת מכה ולהכריח את המערער </w:t>
      </w:r>
      <w:proofErr w:type="spellStart"/>
      <w:r w:rsidRPr="007021DB">
        <w:rPr>
          <w:rFonts w:ascii="David" w:hAnsi="David" w:cs="David"/>
          <w:b/>
          <w:sz w:val="26"/>
          <w:szCs w:val="26"/>
          <w:rtl/>
          <w:lang w:bidi="he-IL"/>
        </w:rPr>
        <w:t>לשגת</w:t>
      </w:r>
      <w:proofErr w:type="spellEnd"/>
      <w:r w:rsidRPr="007021DB">
        <w:rPr>
          <w:rFonts w:ascii="David" w:hAnsi="David" w:cs="David"/>
          <w:b/>
          <w:sz w:val="26"/>
          <w:szCs w:val="26"/>
          <w:rtl/>
          <w:lang w:bidi="he-IL"/>
        </w:rPr>
        <w:t xml:space="preserve"> בו מערעורו".</w:t>
      </w:r>
      <w:r w:rsidRPr="007021DB">
        <w:rPr>
          <w:rFonts w:ascii="David" w:hAnsi="David" w:cs="David"/>
          <w:sz w:val="26"/>
          <w:szCs w:val="26"/>
          <w:rtl/>
          <w:lang w:bidi="he-IL"/>
        </w:rPr>
        <w:t xml:space="preserve"> בקשר לכך, טוען המערער כי השימו</w:t>
      </w:r>
      <w:r w:rsidR="00771E7C">
        <w:rPr>
          <w:rFonts w:ascii="David" w:hAnsi="David" w:cs="David"/>
          <w:sz w:val="26"/>
          <w:szCs w:val="26"/>
          <w:rtl/>
          <w:lang w:bidi="he-IL"/>
        </w:rPr>
        <w:t>ש בפתיחת שומה לפי סעיף 147 צרי</w:t>
      </w:r>
      <w:r w:rsidR="00771E7C">
        <w:rPr>
          <w:rFonts w:ascii="David" w:hAnsi="David" w:cs="David" w:hint="cs"/>
          <w:sz w:val="26"/>
          <w:szCs w:val="26"/>
          <w:rtl/>
          <w:lang w:bidi="he-IL"/>
        </w:rPr>
        <w:t>ך</w:t>
      </w:r>
      <w:r w:rsidRPr="007021DB">
        <w:rPr>
          <w:rFonts w:ascii="David" w:hAnsi="David" w:cs="David"/>
          <w:sz w:val="26"/>
          <w:szCs w:val="26"/>
          <w:rtl/>
          <w:lang w:bidi="he-IL"/>
        </w:rPr>
        <w:t xml:space="preserve"> </w:t>
      </w:r>
      <w:proofErr w:type="spellStart"/>
      <w:r w:rsidRPr="007021DB">
        <w:rPr>
          <w:rFonts w:ascii="David" w:hAnsi="David" w:cs="David"/>
          <w:sz w:val="26"/>
          <w:szCs w:val="26"/>
          <w:rtl/>
          <w:lang w:bidi="he-IL"/>
        </w:rPr>
        <w:t>להעשות</w:t>
      </w:r>
      <w:proofErr w:type="spellEnd"/>
      <w:r w:rsidRPr="007021DB">
        <w:rPr>
          <w:rFonts w:ascii="David" w:hAnsi="David" w:cs="David"/>
          <w:sz w:val="26"/>
          <w:szCs w:val="26"/>
          <w:rtl/>
          <w:lang w:bidi="he-IL"/>
        </w:rPr>
        <w:t xml:space="preserve"> רק כאשר "</w:t>
      </w:r>
      <w:r w:rsidRPr="007021DB">
        <w:rPr>
          <w:rFonts w:ascii="David" w:hAnsi="David" w:cs="David"/>
          <w:bCs/>
          <w:sz w:val="26"/>
          <w:szCs w:val="26"/>
          <w:rtl/>
          <w:lang w:bidi="he-IL"/>
        </w:rPr>
        <w:t>יצביע פקיד השומה על נסיבות מיוחדות וחריגות המצדיקות זאת</w:t>
      </w:r>
      <w:r w:rsidRPr="007021DB">
        <w:rPr>
          <w:rFonts w:ascii="David" w:hAnsi="David" w:cs="David"/>
          <w:sz w:val="26"/>
          <w:szCs w:val="26"/>
          <w:rtl/>
          <w:lang w:bidi="he-IL"/>
        </w:rPr>
        <w:t>". בענייננו, טוען המערער, המשיב לא הצביע על נסיבות מיוחדות המצדיקות את פתיחת השומה כפי שנעשה.</w:t>
      </w:r>
    </w:p>
    <w:p w14:paraId="3EE85B63"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7306CB3D" w14:textId="77777777" w:rsidR="007021DB" w:rsidRPr="007021DB" w:rsidRDefault="007021DB" w:rsidP="007021DB">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 xml:space="preserve">המשיב טוען כי אין להטיל מס יסף על </w:t>
      </w:r>
      <w:r w:rsidR="00771E7C">
        <w:rPr>
          <w:rFonts w:ascii="David" w:hAnsi="David" w:cs="David" w:hint="cs"/>
          <w:sz w:val="26"/>
          <w:szCs w:val="26"/>
          <w:rtl/>
          <w:lang w:bidi="he-IL"/>
        </w:rPr>
        <w:t xml:space="preserve">כספי </w:t>
      </w:r>
      <w:r w:rsidRPr="007021DB">
        <w:rPr>
          <w:rFonts w:ascii="David" w:hAnsi="David" w:cs="David"/>
          <w:sz w:val="26"/>
          <w:szCs w:val="26"/>
          <w:rtl/>
          <w:lang w:bidi="he-IL"/>
        </w:rPr>
        <w:t xml:space="preserve">הפרס בו זכה. בקשר לכך טוען המשיב כי בסעיף בפקודה הוגדרה "הכנסה חייבת" </w:t>
      </w:r>
      <w:proofErr w:type="spellStart"/>
      <w:r w:rsidRPr="007021DB">
        <w:rPr>
          <w:rFonts w:ascii="David" w:hAnsi="David" w:cs="David"/>
          <w:sz w:val="26"/>
          <w:szCs w:val="26"/>
          <w:rtl/>
          <w:lang w:bidi="he-IL"/>
        </w:rPr>
        <w:t>ככזו</w:t>
      </w:r>
      <w:proofErr w:type="spellEnd"/>
      <w:r w:rsidRPr="007021DB">
        <w:rPr>
          <w:rFonts w:ascii="David" w:hAnsi="David" w:cs="David"/>
          <w:sz w:val="26"/>
          <w:szCs w:val="26"/>
          <w:rtl/>
          <w:lang w:bidi="he-IL"/>
        </w:rPr>
        <w:t xml:space="preserve"> שאינה כוללת הכנסות מסעיף 2א לפקודה. על כן, המערער טוען כי לא היה מקום להטיל על זכייתו את מס היסף בנסיבות המתוארות.</w:t>
      </w:r>
    </w:p>
    <w:p w14:paraId="66AFE10A" w14:textId="77777777" w:rsidR="007021DB" w:rsidRPr="007021DB" w:rsidRDefault="007021DB" w:rsidP="007021DB">
      <w:pPr>
        <w:pStyle w:val="ae"/>
        <w:rPr>
          <w:rFonts w:ascii="David" w:hAnsi="David" w:cs="David"/>
          <w:sz w:val="26"/>
          <w:szCs w:val="26"/>
          <w:rtl/>
          <w:lang w:bidi="he-IL"/>
        </w:rPr>
      </w:pPr>
    </w:p>
    <w:p w14:paraId="04591C78" w14:textId="77777777" w:rsidR="007021DB" w:rsidRPr="007021DB" w:rsidRDefault="007021DB" w:rsidP="007021DB">
      <w:pPr>
        <w:pStyle w:val="ae"/>
        <w:rPr>
          <w:rFonts w:ascii="David" w:hAnsi="David" w:cs="David"/>
          <w:sz w:val="26"/>
          <w:szCs w:val="26"/>
          <w:rtl/>
          <w:lang w:bidi="he-IL"/>
        </w:rPr>
      </w:pPr>
    </w:p>
    <w:p w14:paraId="69A5E748" w14:textId="77777777" w:rsidR="007021DB" w:rsidRPr="007021DB" w:rsidRDefault="007021DB" w:rsidP="007021DB">
      <w:pPr>
        <w:pStyle w:val="ae"/>
        <w:widowControl w:val="0"/>
        <w:numPr>
          <w:ilvl w:val="0"/>
          <w:numId w:val="1"/>
        </w:numPr>
        <w:bidi/>
        <w:spacing w:after="360" w:line="360" w:lineRule="auto"/>
        <w:jc w:val="both"/>
        <w:rPr>
          <w:rFonts w:ascii="David" w:hAnsi="David" w:cs="David"/>
          <w:sz w:val="26"/>
          <w:szCs w:val="26"/>
          <w:lang w:bidi="he-IL"/>
        </w:rPr>
      </w:pPr>
      <w:r w:rsidRPr="007021DB">
        <w:rPr>
          <w:rFonts w:ascii="David" w:hAnsi="David" w:cs="David"/>
          <w:bCs/>
          <w:sz w:val="26"/>
          <w:szCs w:val="26"/>
          <w:u w:val="single"/>
          <w:rtl/>
          <w:lang w:bidi="he-IL"/>
        </w:rPr>
        <w:t>טענות המשיב</w:t>
      </w:r>
    </w:p>
    <w:p w14:paraId="1CA69E22" w14:textId="77777777" w:rsidR="007021DB" w:rsidRPr="007021DB" w:rsidRDefault="007021DB" w:rsidP="007021DB">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 xml:space="preserve">המשיב טוען כי דין הערעור להידחות. </w:t>
      </w:r>
    </w:p>
    <w:p w14:paraId="3F0D442F"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7AFDA400" w14:textId="77777777" w:rsidR="007021DB" w:rsidRPr="007021DB" w:rsidRDefault="007021DB" w:rsidP="00771E7C">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לטענת המשיב, חיוב המס במקור על-ידי המועצה להסדר הימורים בספורט נעשתה בהתאם לתקנות הניכוי במקור.</w:t>
      </w:r>
    </w:p>
    <w:p w14:paraId="6F898789"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0A219692" w14:textId="77777777" w:rsidR="007021DB" w:rsidRPr="007021DB" w:rsidRDefault="007021DB" w:rsidP="00771E7C">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 xml:space="preserve">המשיב טוען כי לאור "המצב החוקי ששרר במועד הזכייה לא נוכה </w:t>
      </w:r>
      <w:r w:rsidR="00771E7C">
        <w:rPr>
          <w:rFonts w:ascii="David" w:hAnsi="David" w:cs="David"/>
          <w:sz w:val="26"/>
          <w:szCs w:val="26"/>
          <w:rtl/>
          <w:lang w:bidi="he-IL"/>
        </w:rPr>
        <w:t>במקור מס נוסף על הכנסות גבוהות"</w:t>
      </w:r>
      <w:r w:rsidR="00771E7C">
        <w:rPr>
          <w:rFonts w:ascii="David" w:hAnsi="David" w:cs="David" w:hint="cs"/>
          <w:sz w:val="26"/>
          <w:szCs w:val="26"/>
          <w:rtl/>
          <w:lang w:bidi="he-IL"/>
        </w:rPr>
        <w:t>,</w:t>
      </w:r>
      <w:r w:rsidRPr="007021DB">
        <w:rPr>
          <w:rFonts w:ascii="David" w:hAnsi="David" w:cs="David"/>
          <w:sz w:val="26"/>
          <w:szCs w:val="26"/>
          <w:rtl/>
          <w:lang w:bidi="he-IL"/>
        </w:rPr>
        <w:t xml:space="preserve"> אלא שבהתאם לדו"ח שהגיש המערער עצמו, הוא לא כלל את ההכנסות </w:t>
      </w:r>
      <w:proofErr w:type="spellStart"/>
      <w:r w:rsidRPr="007021DB">
        <w:rPr>
          <w:rFonts w:ascii="David" w:hAnsi="David" w:cs="David"/>
          <w:sz w:val="26"/>
          <w:szCs w:val="26"/>
          <w:rtl/>
          <w:lang w:bidi="he-IL"/>
        </w:rPr>
        <w:t>מהזכיה</w:t>
      </w:r>
      <w:proofErr w:type="spellEnd"/>
      <w:r w:rsidRPr="007021DB">
        <w:rPr>
          <w:rFonts w:ascii="David" w:hAnsi="David" w:cs="David"/>
          <w:sz w:val="26"/>
          <w:szCs w:val="26"/>
          <w:rtl/>
          <w:lang w:bidi="he-IL"/>
        </w:rPr>
        <w:t xml:space="preserve"> כהכנסות חייבות ולא דיווח על </w:t>
      </w:r>
      <w:proofErr w:type="spellStart"/>
      <w:r w:rsidRPr="007021DB">
        <w:rPr>
          <w:rFonts w:ascii="David" w:hAnsi="David" w:cs="David"/>
          <w:sz w:val="26"/>
          <w:szCs w:val="26"/>
          <w:rtl/>
          <w:lang w:bidi="he-IL"/>
        </w:rPr>
        <w:t>הזכיה</w:t>
      </w:r>
      <w:proofErr w:type="spellEnd"/>
      <w:r w:rsidRPr="007021DB">
        <w:rPr>
          <w:rFonts w:ascii="David" w:hAnsi="David" w:cs="David"/>
          <w:sz w:val="26"/>
          <w:szCs w:val="26"/>
          <w:rtl/>
          <w:lang w:bidi="he-IL"/>
        </w:rPr>
        <w:t xml:space="preserve"> כהכנסה חייבת. לאור בחינת הדו"ח שהגיש המערער, עלה כי הוא לא חויב במס על הכנסות גבוהות ולכן התקיים שימוע שבעקבותיו נפתחה השומה והוא נדרש לשלם גם את מס היסף.</w:t>
      </w:r>
    </w:p>
    <w:p w14:paraId="459A25FF"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45B08200" w14:textId="77777777" w:rsidR="007021DB" w:rsidRPr="007021DB" w:rsidRDefault="007021DB" w:rsidP="007021DB">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המשיב טוען כי אין מקום להתערבות שיפוטית בשיקול דעתו בשומה וזאת בשל הנסיבות הבאות:</w:t>
      </w:r>
    </w:p>
    <w:p w14:paraId="1F781617" w14:textId="77777777" w:rsidR="007021DB" w:rsidRPr="007021DB" w:rsidRDefault="007021DB" w:rsidP="007021DB">
      <w:pPr>
        <w:pStyle w:val="ae"/>
        <w:widowControl w:val="0"/>
        <w:numPr>
          <w:ilvl w:val="0"/>
          <w:numId w:val="3"/>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 xml:space="preserve">סעיף 2א לפקודה, שמסדיר את המיסוי בגין זכיה ברווחים מהימורים נחקק במסגרת חוק </w:t>
      </w:r>
      <w:proofErr w:type="spellStart"/>
      <w:r w:rsidRPr="007021DB">
        <w:rPr>
          <w:rFonts w:ascii="David" w:hAnsi="David" w:cs="David"/>
          <w:bCs/>
          <w:sz w:val="26"/>
          <w:szCs w:val="26"/>
          <w:rtl/>
          <w:lang w:bidi="he-IL"/>
        </w:rPr>
        <w:t>התכנית</w:t>
      </w:r>
      <w:proofErr w:type="spellEnd"/>
      <w:r w:rsidRPr="007021DB">
        <w:rPr>
          <w:rFonts w:ascii="David" w:hAnsi="David" w:cs="David"/>
          <w:bCs/>
          <w:sz w:val="26"/>
          <w:szCs w:val="26"/>
          <w:rtl/>
          <w:lang w:bidi="he-IL"/>
        </w:rPr>
        <w:t xml:space="preserve"> הכלכלית להבראת כלכלת ישראל (תיקוני חקיקה </w:t>
      </w:r>
      <w:r w:rsidRPr="007021DB">
        <w:rPr>
          <w:rFonts w:ascii="David" w:hAnsi="David" w:cs="David"/>
          <w:bCs/>
          <w:sz w:val="26"/>
          <w:szCs w:val="26"/>
          <w:rtl/>
          <w:lang w:bidi="he-IL"/>
        </w:rPr>
        <w:lastRenderedPageBreak/>
        <w:t>להשגה יעדי התקציב והמדיניות הכלכלית לשנת הכספים 2003 ו-2004, התשס"ג-2003</w:t>
      </w:r>
      <w:r w:rsidRPr="007021DB">
        <w:rPr>
          <w:rFonts w:ascii="David" w:hAnsi="David" w:cs="David"/>
          <w:sz w:val="26"/>
          <w:szCs w:val="26"/>
          <w:rtl/>
          <w:lang w:bidi="he-IL"/>
        </w:rPr>
        <w:t xml:space="preserve"> (להלן: "</w:t>
      </w:r>
      <w:r w:rsidRPr="007021DB">
        <w:rPr>
          <w:rFonts w:ascii="David" w:hAnsi="David" w:cs="David"/>
          <w:bCs/>
          <w:sz w:val="26"/>
          <w:szCs w:val="26"/>
          <w:rtl/>
          <w:lang w:bidi="he-IL"/>
        </w:rPr>
        <w:t>החוק</w:t>
      </w:r>
      <w:r w:rsidRPr="007021DB">
        <w:rPr>
          <w:rFonts w:ascii="David" w:hAnsi="David" w:cs="David"/>
          <w:sz w:val="26"/>
          <w:szCs w:val="26"/>
          <w:rtl/>
          <w:lang w:bidi="he-IL"/>
        </w:rPr>
        <w:t xml:space="preserve">"). במסגרת זו נקבע כי גם תושבי חוץ – כגון המערער – הזוכים בהגרלות והימורים בישראל, </w:t>
      </w:r>
      <w:proofErr w:type="spellStart"/>
      <w:r w:rsidRPr="007021DB">
        <w:rPr>
          <w:rFonts w:ascii="David" w:hAnsi="David" w:cs="David"/>
          <w:sz w:val="26"/>
          <w:szCs w:val="26"/>
          <w:rtl/>
          <w:lang w:bidi="he-IL"/>
        </w:rPr>
        <w:t>ימוסו</w:t>
      </w:r>
      <w:proofErr w:type="spellEnd"/>
      <w:r w:rsidRPr="007021DB">
        <w:rPr>
          <w:rFonts w:ascii="David" w:hAnsi="David" w:cs="David"/>
          <w:sz w:val="26"/>
          <w:szCs w:val="26"/>
          <w:rtl/>
          <w:lang w:bidi="he-IL"/>
        </w:rPr>
        <w:t xml:space="preserve"> בהתאם לחוק בישראל.</w:t>
      </w:r>
    </w:p>
    <w:p w14:paraId="5CF42CE5" w14:textId="77777777" w:rsidR="007021DB" w:rsidRPr="007021DB" w:rsidRDefault="007021DB" w:rsidP="007021DB">
      <w:pPr>
        <w:pStyle w:val="ae"/>
        <w:widowControl w:val="0"/>
        <w:numPr>
          <w:ilvl w:val="0"/>
          <w:numId w:val="3"/>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 xml:space="preserve">סעיף 4א(א)(11) לפקודה קובע כי המקום שבו </w:t>
      </w:r>
      <w:r w:rsidRPr="007021DB">
        <w:rPr>
          <w:rFonts w:ascii="David" w:hAnsi="David" w:cs="David"/>
          <w:sz w:val="26"/>
          <w:szCs w:val="26"/>
          <w:u w:val="single"/>
          <w:rtl/>
          <w:lang w:bidi="he-IL"/>
        </w:rPr>
        <w:t>הופקה ההכנסה</w:t>
      </w:r>
      <w:r w:rsidRPr="007021DB">
        <w:rPr>
          <w:rFonts w:ascii="David" w:hAnsi="David" w:cs="David"/>
          <w:sz w:val="26"/>
          <w:szCs w:val="26"/>
          <w:rtl/>
          <w:lang w:bidi="he-IL"/>
        </w:rPr>
        <w:t xml:space="preserve"> הוא מקום מושבו של המשלם.</w:t>
      </w:r>
    </w:p>
    <w:p w14:paraId="1E6B4468" w14:textId="77777777" w:rsidR="007021DB" w:rsidRPr="007021DB" w:rsidRDefault="007021DB" w:rsidP="007021DB">
      <w:pPr>
        <w:pStyle w:val="ae"/>
        <w:widowControl w:val="0"/>
        <w:numPr>
          <w:ilvl w:val="0"/>
          <w:numId w:val="3"/>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 xml:space="preserve">סעיף 124ב לפקודה קובע את שיעור המס ואת העובדה שלא ניתן לתת זכאות "לפטור, להנחה, לניכוי, לזיכוי או לקיזוז כלשהם...". </w:t>
      </w:r>
    </w:p>
    <w:p w14:paraId="142BFCE3" w14:textId="77777777" w:rsidR="007021DB" w:rsidRPr="007021DB" w:rsidRDefault="007021DB" w:rsidP="007021DB">
      <w:pPr>
        <w:pStyle w:val="ae"/>
        <w:widowControl w:val="0"/>
        <w:numPr>
          <w:ilvl w:val="0"/>
          <w:numId w:val="3"/>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בהתאם להוראות</w:t>
      </w:r>
      <w:r w:rsidR="00771E7C">
        <w:rPr>
          <w:rFonts w:ascii="David" w:hAnsi="David" w:cs="David"/>
          <w:sz w:val="26"/>
          <w:szCs w:val="26"/>
          <w:rtl/>
          <w:lang w:bidi="he-IL"/>
        </w:rPr>
        <w:t xml:space="preserve"> החקיקה הרלוונטית, המועצה להסדר</w:t>
      </w:r>
      <w:r w:rsidRPr="007021DB">
        <w:rPr>
          <w:rFonts w:ascii="David" w:hAnsi="David" w:cs="David"/>
          <w:sz w:val="26"/>
          <w:szCs w:val="26"/>
          <w:rtl/>
          <w:lang w:bidi="he-IL"/>
        </w:rPr>
        <w:t xml:space="preserve"> הימורים בספורט שילמה למערער את כספי </w:t>
      </w:r>
      <w:proofErr w:type="spellStart"/>
      <w:r w:rsidRPr="007021DB">
        <w:rPr>
          <w:rFonts w:ascii="David" w:hAnsi="David" w:cs="David"/>
          <w:sz w:val="26"/>
          <w:szCs w:val="26"/>
          <w:rtl/>
          <w:lang w:bidi="he-IL"/>
        </w:rPr>
        <w:t>הזכיה</w:t>
      </w:r>
      <w:proofErr w:type="spellEnd"/>
      <w:r w:rsidRPr="007021DB">
        <w:rPr>
          <w:rFonts w:ascii="David" w:hAnsi="David" w:cs="David"/>
          <w:sz w:val="26"/>
          <w:szCs w:val="26"/>
          <w:rtl/>
          <w:lang w:bidi="he-IL"/>
        </w:rPr>
        <w:t xml:space="preserve"> תוך ניכוי המס במקור.</w:t>
      </w:r>
    </w:p>
    <w:p w14:paraId="76913F4B"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3D360E3E" w14:textId="77777777" w:rsidR="007021DB" w:rsidRPr="007021DB" w:rsidRDefault="007021DB" w:rsidP="007021DB">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לאור קביעת סעיף 4א(א)(11) לפקודה חייב המערער במס בישראל ואין בטענותיו בכדי להביא למסקנה אחרת.</w:t>
      </w:r>
    </w:p>
    <w:p w14:paraId="5DCD2CE0"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233F6ABD" w14:textId="77777777" w:rsidR="007021DB" w:rsidRPr="007021DB" w:rsidRDefault="00771E7C" w:rsidP="007021DB">
      <w:pPr>
        <w:pStyle w:val="ae"/>
        <w:widowControl w:val="0"/>
        <w:numPr>
          <w:ilvl w:val="0"/>
          <w:numId w:val="2"/>
        </w:numPr>
        <w:bidi/>
        <w:spacing w:after="360" w:line="360" w:lineRule="auto"/>
        <w:jc w:val="both"/>
        <w:rPr>
          <w:rFonts w:ascii="David" w:hAnsi="David" w:cs="David"/>
          <w:sz w:val="26"/>
          <w:szCs w:val="26"/>
          <w:lang w:bidi="he-IL"/>
        </w:rPr>
      </w:pPr>
      <w:r>
        <w:rPr>
          <w:rFonts w:ascii="David" w:hAnsi="David" w:cs="David" w:hint="cs"/>
          <w:sz w:val="26"/>
          <w:szCs w:val="26"/>
          <w:rtl/>
          <w:lang w:bidi="he-IL"/>
        </w:rPr>
        <w:t xml:space="preserve">נטען כי </w:t>
      </w:r>
      <w:r w:rsidR="007021DB" w:rsidRPr="007021DB">
        <w:rPr>
          <w:rFonts w:ascii="David" w:hAnsi="David" w:cs="David"/>
          <w:sz w:val="26"/>
          <w:szCs w:val="26"/>
          <w:rtl/>
          <w:lang w:bidi="he-IL"/>
        </w:rPr>
        <w:t>הפוך מטענתו של המערער, פרוטוקול פריז</w:t>
      </w:r>
      <w:r>
        <w:rPr>
          <w:rFonts w:ascii="David" w:hAnsi="David" w:cs="David"/>
          <w:sz w:val="26"/>
          <w:szCs w:val="26"/>
          <w:rtl/>
          <w:lang w:bidi="he-IL"/>
        </w:rPr>
        <w:t xml:space="preserve"> קובע במפורש כי (בסעיף 2 שלו) "</w:t>
      </w:r>
      <w:r w:rsidRPr="00771E7C">
        <w:rPr>
          <w:rFonts w:ascii="David" w:hAnsi="David" w:cs="David" w:hint="cs"/>
          <w:bCs/>
          <w:sz w:val="26"/>
          <w:szCs w:val="26"/>
          <w:rtl/>
          <w:lang w:bidi="he-IL"/>
        </w:rPr>
        <w:t>ל</w:t>
      </w:r>
      <w:r w:rsidR="007021DB" w:rsidRPr="007021DB">
        <w:rPr>
          <w:rFonts w:ascii="David" w:hAnsi="David" w:cs="David"/>
          <w:bCs/>
          <w:sz w:val="26"/>
          <w:szCs w:val="26"/>
          <w:rtl/>
          <w:lang w:bidi="he-IL"/>
        </w:rPr>
        <w:t xml:space="preserve">כל </w:t>
      </w:r>
      <w:proofErr w:type="spellStart"/>
      <w:r w:rsidR="007021DB" w:rsidRPr="007021DB">
        <w:rPr>
          <w:rFonts w:ascii="David" w:hAnsi="David" w:cs="David"/>
          <w:bCs/>
          <w:sz w:val="26"/>
          <w:szCs w:val="26"/>
          <w:rtl/>
          <w:lang w:bidi="he-IL"/>
        </w:rPr>
        <w:t>מינהל</w:t>
      </w:r>
      <w:proofErr w:type="spellEnd"/>
      <w:r w:rsidR="007021DB" w:rsidRPr="007021DB">
        <w:rPr>
          <w:rFonts w:ascii="David" w:hAnsi="David" w:cs="David"/>
          <w:bCs/>
          <w:sz w:val="26"/>
          <w:szCs w:val="26"/>
          <w:rtl/>
          <w:lang w:bidi="he-IL"/>
        </w:rPr>
        <w:t xml:space="preserve"> מס תהא הזכות להטיל את המיסים הישירים הנובעים מפעילויות כלכליות המתבצעות בתוך </w:t>
      </w:r>
      <w:proofErr w:type="spellStart"/>
      <w:r w:rsidR="007021DB" w:rsidRPr="007021DB">
        <w:rPr>
          <w:rFonts w:ascii="David" w:hAnsi="David" w:cs="David"/>
          <w:bCs/>
          <w:sz w:val="26"/>
          <w:szCs w:val="26"/>
          <w:rtl/>
          <w:lang w:bidi="he-IL"/>
        </w:rPr>
        <w:t>האיזור</w:t>
      </w:r>
      <w:proofErr w:type="spellEnd"/>
      <w:r w:rsidR="007021DB" w:rsidRPr="007021DB">
        <w:rPr>
          <w:rFonts w:ascii="David" w:hAnsi="David" w:cs="David"/>
          <w:bCs/>
          <w:sz w:val="26"/>
          <w:szCs w:val="26"/>
          <w:rtl/>
          <w:lang w:bidi="he-IL"/>
        </w:rPr>
        <w:t xml:space="preserve"> אשר תחת אחריות המיסוי שלו</w:t>
      </w:r>
      <w:r w:rsidR="007021DB" w:rsidRPr="007021DB">
        <w:rPr>
          <w:rFonts w:ascii="David" w:hAnsi="David" w:cs="David"/>
          <w:sz w:val="26"/>
          <w:szCs w:val="26"/>
          <w:rtl/>
          <w:lang w:bidi="he-IL"/>
        </w:rPr>
        <w:t>". לפיכך, אין בטענותיו של המערער בנוגע לפרוטוקול פריז בכדי להצדיק את הפטור לו הוא טוען. לגבי העברת 75% מהמס שייגבה לרשות הפלסטינאית, טוען המשיב כי מדובר אך ורק במס שנגבה מעבודה ואינו רלוונטי לענייננו.</w:t>
      </w:r>
    </w:p>
    <w:p w14:paraId="52EE9493"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25C6A2EC" w14:textId="77777777" w:rsidR="007021DB" w:rsidRPr="007021DB" w:rsidRDefault="007021DB" w:rsidP="007021DB">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לטענת המשיב יש גם לדחות את טענות המערער לגבי הטלת מס בשיעור של 25% וזאת בשל החקיקה ספציפית שבה מדובר ואשר קובעת ברחל בתך הקטנה את שיעור המס הרלוונטי בעת זכיה בהגרלות.</w:t>
      </w:r>
    </w:p>
    <w:p w14:paraId="5064F134"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4B863DF1" w14:textId="77777777" w:rsidR="007021DB" w:rsidRPr="007021DB" w:rsidRDefault="007021DB" w:rsidP="007021DB">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 xml:space="preserve">לגבי פתיחת השומה – המשיב טוען כי משהתברר כי המערער לא הגיש דוח מס בגין שנת המס הרלוונטית ומשהוגש הדוח לאחר הגשת הערעור, נפתחה השומה כדין וזאת על מנת להגיע למצב בו נגבה מס אמת בהתאם לנסיבות המקרה. </w:t>
      </w:r>
    </w:p>
    <w:p w14:paraId="78032F86"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2D4313E1" w14:textId="77777777" w:rsidR="007021DB" w:rsidRPr="007021DB" w:rsidRDefault="007021DB" w:rsidP="00C771CD">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בקשר לכך, טוען המשיב כי במועד זכייתו של המערער לא הייתה חובה לניכוי במקור גם של מס היסף וכי ביום 1.1.17 תוקנו תקנות ניכוי במקור. המשיב טוען כי העובדה שסכום מס היסף לא נוכה במקור אי</w:t>
      </w:r>
      <w:r w:rsidR="00C771CD">
        <w:rPr>
          <w:rFonts w:ascii="David" w:hAnsi="David" w:cs="David" w:hint="cs"/>
          <w:sz w:val="26"/>
          <w:szCs w:val="26"/>
          <w:rtl/>
          <w:lang w:bidi="he-IL"/>
        </w:rPr>
        <w:t>ן</w:t>
      </w:r>
      <w:r w:rsidRPr="007021DB">
        <w:rPr>
          <w:rFonts w:ascii="David" w:hAnsi="David" w:cs="David"/>
          <w:sz w:val="26"/>
          <w:szCs w:val="26"/>
          <w:rtl/>
          <w:lang w:bidi="he-IL"/>
        </w:rPr>
        <w:t xml:space="preserve"> </w:t>
      </w:r>
      <w:r w:rsidR="00771E7C">
        <w:rPr>
          <w:rFonts w:ascii="David" w:hAnsi="David" w:cs="David" w:hint="cs"/>
          <w:sz w:val="26"/>
          <w:szCs w:val="26"/>
          <w:rtl/>
          <w:lang w:bidi="he-IL"/>
        </w:rPr>
        <w:t>משמעו</w:t>
      </w:r>
      <w:r w:rsidRPr="007021DB">
        <w:rPr>
          <w:rFonts w:ascii="David" w:hAnsi="David" w:cs="David"/>
          <w:sz w:val="26"/>
          <w:szCs w:val="26"/>
          <w:rtl/>
          <w:lang w:bidi="he-IL"/>
        </w:rPr>
        <w:t xml:space="preserve"> פטור מתשלו</w:t>
      </w:r>
      <w:r w:rsidR="00771E7C">
        <w:rPr>
          <w:rFonts w:ascii="David" w:hAnsi="David" w:cs="David" w:hint="cs"/>
          <w:sz w:val="26"/>
          <w:szCs w:val="26"/>
          <w:rtl/>
          <w:lang w:bidi="he-IL"/>
        </w:rPr>
        <w:t>מו</w:t>
      </w:r>
      <w:r w:rsidRPr="007021DB">
        <w:rPr>
          <w:rFonts w:ascii="David" w:hAnsi="David" w:cs="David"/>
          <w:sz w:val="26"/>
          <w:szCs w:val="26"/>
          <w:rtl/>
          <w:lang w:bidi="he-IL"/>
        </w:rPr>
        <w:t xml:space="preserve">. לפיכך, </w:t>
      </w:r>
      <w:r w:rsidRPr="007021DB">
        <w:rPr>
          <w:rFonts w:ascii="David" w:hAnsi="David" w:cs="David"/>
          <w:sz w:val="26"/>
          <w:szCs w:val="26"/>
          <w:rtl/>
          <w:lang w:bidi="he-IL"/>
        </w:rPr>
        <w:lastRenderedPageBreak/>
        <w:t>המערער היה חייב לדווח על זכייתו למשיב ולשלם את מס היסף כדין.</w:t>
      </w:r>
    </w:p>
    <w:p w14:paraId="015E5D4F"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1C2E4684" w14:textId="77777777" w:rsidR="007021DB" w:rsidRPr="007021DB" w:rsidRDefault="007021DB" w:rsidP="00771E7C">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 xml:space="preserve">המשיב עוד הסביר כי בהתאם לתצהירה של הגב' תורג'מן (הנ"ל), משהמשיב מצא כי המערער הגיש את הדוח כאשר כספי </w:t>
      </w:r>
      <w:proofErr w:type="spellStart"/>
      <w:r w:rsidRPr="007021DB">
        <w:rPr>
          <w:rFonts w:ascii="David" w:hAnsi="David" w:cs="David"/>
          <w:sz w:val="26"/>
          <w:szCs w:val="26"/>
          <w:rtl/>
          <w:lang w:bidi="he-IL"/>
        </w:rPr>
        <w:t>הזכיה</w:t>
      </w:r>
      <w:proofErr w:type="spellEnd"/>
      <w:r w:rsidRPr="007021DB">
        <w:rPr>
          <w:rFonts w:ascii="David" w:hAnsi="David" w:cs="David"/>
          <w:sz w:val="26"/>
          <w:szCs w:val="26"/>
          <w:rtl/>
          <w:lang w:bidi="he-IL"/>
        </w:rPr>
        <w:t xml:space="preserve"> סווגו כפטורים מתשלום מס, הוא מצא לנכון לפתוח את הושמה ולקבוע כי המערער חייב גם במס היסף בנוסף למס </w:t>
      </w:r>
      <w:r w:rsidR="00771E7C">
        <w:rPr>
          <w:rFonts w:ascii="David" w:hAnsi="David" w:cs="David" w:hint="cs"/>
          <w:sz w:val="26"/>
          <w:szCs w:val="26"/>
          <w:rtl/>
          <w:lang w:bidi="he-IL"/>
        </w:rPr>
        <w:t xml:space="preserve">ההכנסה </w:t>
      </w:r>
      <w:r w:rsidRPr="007021DB">
        <w:rPr>
          <w:rFonts w:ascii="David" w:hAnsi="David" w:cs="David"/>
          <w:sz w:val="26"/>
          <w:szCs w:val="26"/>
          <w:rtl/>
          <w:lang w:bidi="he-IL"/>
        </w:rPr>
        <w:t>בהתאם לתקנות ניכוי במקור כפי שנעשה.</w:t>
      </w:r>
    </w:p>
    <w:p w14:paraId="3653ECE1"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4CB3382F" w14:textId="77777777" w:rsidR="007021DB" w:rsidRPr="007021DB" w:rsidRDefault="007021DB" w:rsidP="007021DB">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לגבי סמכותו לפתוח את השומה טוען המשיב כי סמכותו לפי סעיף 147 לפקודה היא "רחבה ואינה מוגבלת לעילות ספציפיות או לסוג טעות כזה או אחר</w:t>
      </w:r>
      <w:r w:rsidR="002C5857">
        <w:rPr>
          <w:rFonts w:ascii="David" w:hAnsi="David" w:cs="David" w:hint="cs"/>
          <w:sz w:val="26"/>
          <w:szCs w:val="26"/>
          <w:rtl/>
          <w:lang w:bidi="he-IL"/>
        </w:rPr>
        <w:t>"</w:t>
      </w:r>
      <w:r w:rsidRPr="007021DB">
        <w:rPr>
          <w:rFonts w:ascii="David" w:hAnsi="David" w:cs="David"/>
          <w:sz w:val="26"/>
          <w:szCs w:val="26"/>
          <w:rtl/>
          <w:lang w:bidi="he-IL"/>
        </w:rPr>
        <w:t>. בקשר לכך, מפנה המשיב לפסיקה נרחבת שניתנה בהקשר זה (וראו בקשר לכך סעיף 28 לסיכומי המשיב).</w:t>
      </w:r>
    </w:p>
    <w:p w14:paraId="127F4D53" w14:textId="77777777" w:rsidR="007021DB" w:rsidRPr="007021DB" w:rsidRDefault="007021DB" w:rsidP="007021DB">
      <w:pPr>
        <w:pStyle w:val="ae"/>
        <w:rPr>
          <w:rFonts w:ascii="David" w:hAnsi="David" w:cs="David"/>
          <w:sz w:val="26"/>
          <w:szCs w:val="26"/>
          <w:rtl/>
          <w:lang w:bidi="he-IL"/>
        </w:rPr>
      </w:pPr>
    </w:p>
    <w:p w14:paraId="38C6325C" w14:textId="77777777" w:rsidR="007021DB" w:rsidRPr="007021DB" w:rsidRDefault="007021DB" w:rsidP="007021DB">
      <w:pPr>
        <w:pStyle w:val="ae"/>
        <w:widowControl w:val="0"/>
        <w:numPr>
          <w:ilvl w:val="0"/>
          <w:numId w:val="1"/>
        </w:numPr>
        <w:bidi/>
        <w:spacing w:after="360" w:line="360" w:lineRule="auto"/>
        <w:jc w:val="both"/>
        <w:rPr>
          <w:rFonts w:ascii="David" w:hAnsi="David" w:cs="David"/>
          <w:sz w:val="26"/>
          <w:szCs w:val="26"/>
          <w:lang w:bidi="he-IL"/>
        </w:rPr>
      </w:pPr>
      <w:r w:rsidRPr="007021DB">
        <w:rPr>
          <w:rFonts w:ascii="David" w:hAnsi="David" w:cs="David"/>
          <w:bCs/>
          <w:sz w:val="26"/>
          <w:szCs w:val="26"/>
          <w:u w:val="single"/>
          <w:rtl/>
          <w:lang w:bidi="he-IL"/>
        </w:rPr>
        <w:t>דיון והכרעה</w:t>
      </w:r>
      <w:r w:rsidRPr="007021DB">
        <w:rPr>
          <w:rFonts w:ascii="David" w:hAnsi="David" w:cs="David"/>
          <w:sz w:val="26"/>
          <w:szCs w:val="26"/>
          <w:rtl/>
          <w:lang w:bidi="he-IL"/>
        </w:rPr>
        <w:t>:</w:t>
      </w:r>
    </w:p>
    <w:p w14:paraId="2686B8A8" w14:textId="77777777" w:rsidR="007021DB" w:rsidRPr="007021DB" w:rsidRDefault="007021DB" w:rsidP="007021DB">
      <w:pPr>
        <w:pStyle w:val="ae"/>
        <w:widowControl w:val="0"/>
        <w:numPr>
          <w:ilvl w:val="0"/>
          <w:numId w:val="2"/>
        </w:numPr>
        <w:bidi/>
        <w:spacing w:after="0" w:line="360" w:lineRule="auto"/>
        <w:ind w:left="1077"/>
        <w:jc w:val="both"/>
        <w:rPr>
          <w:rFonts w:ascii="David" w:hAnsi="David" w:cs="David"/>
          <w:sz w:val="26"/>
          <w:szCs w:val="26"/>
          <w:lang w:bidi="he-IL"/>
        </w:rPr>
      </w:pPr>
      <w:r w:rsidRPr="007021DB">
        <w:rPr>
          <w:rFonts w:ascii="David" w:hAnsi="David" w:cs="David"/>
          <w:sz w:val="26"/>
          <w:szCs w:val="26"/>
          <w:rtl/>
          <w:lang w:bidi="he-IL"/>
        </w:rPr>
        <w:t>אביא להלן את המסגרת הנורמטיבית לדיון ואכריע בין טענות הצדדים.</w:t>
      </w:r>
    </w:p>
    <w:p w14:paraId="1966D894" w14:textId="77777777" w:rsidR="007021DB" w:rsidRPr="007021DB" w:rsidRDefault="007021DB" w:rsidP="007021DB">
      <w:pPr>
        <w:pStyle w:val="ae"/>
        <w:widowControl w:val="0"/>
        <w:bidi/>
        <w:spacing w:after="0" w:line="360" w:lineRule="auto"/>
        <w:ind w:left="1077"/>
        <w:jc w:val="both"/>
        <w:rPr>
          <w:rFonts w:ascii="David" w:hAnsi="David" w:cs="David"/>
          <w:sz w:val="26"/>
          <w:szCs w:val="26"/>
          <w:lang w:bidi="he-IL"/>
        </w:rPr>
      </w:pPr>
    </w:p>
    <w:p w14:paraId="198F6D8D" w14:textId="77777777" w:rsidR="007021DB" w:rsidRPr="007021DB" w:rsidRDefault="007021DB" w:rsidP="007021DB">
      <w:pPr>
        <w:pStyle w:val="ae"/>
        <w:widowControl w:val="0"/>
        <w:numPr>
          <w:ilvl w:val="0"/>
          <w:numId w:val="2"/>
        </w:numPr>
        <w:bidi/>
        <w:spacing w:after="0" w:line="360" w:lineRule="auto"/>
        <w:ind w:left="1077"/>
        <w:jc w:val="both"/>
        <w:rPr>
          <w:rFonts w:ascii="David" w:hAnsi="David" w:cs="David"/>
          <w:sz w:val="26"/>
          <w:szCs w:val="26"/>
          <w:lang w:bidi="he-IL"/>
        </w:rPr>
      </w:pPr>
      <w:r w:rsidRPr="007021DB">
        <w:rPr>
          <w:rFonts w:ascii="David" w:hAnsi="David" w:cs="David"/>
          <w:sz w:val="26"/>
          <w:szCs w:val="26"/>
          <w:rtl/>
          <w:lang w:bidi="he-IL"/>
        </w:rPr>
        <w:t>סעיף 2א לפקודה קובע כך (ההדגשות אינן במקור א.ד.):</w:t>
      </w:r>
    </w:p>
    <w:p w14:paraId="2E6A6E26" w14:textId="77777777" w:rsidR="007021DB" w:rsidRPr="007021DB" w:rsidRDefault="007021DB" w:rsidP="007021DB">
      <w:pPr>
        <w:pStyle w:val="ae"/>
        <w:rPr>
          <w:rFonts w:ascii="David" w:hAnsi="David" w:cs="David"/>
          <w:sz w:val="26"/>
          <w:szCs w:val="26"/>
          <w:lang w:bidi="he-IL"/>
        </w:rPr>
      </w:pPr>
    </w:p>
    <w:p w14:paraId="44107CEC" w14:textId="77777777" w:rsidR="007021DB" w:rsidRPr="007021DB" w:rsidRDefault="007021DB" w:rsidP="007021DB">
      <w:pPr>
        <w:pStyle w:val="p00"/>
        <w:bidi/>
        <w:spacing w:before="72" w:beforeAutospacing="0" w:after="0" w:afterAutospacing="0"/>
        <w:ind w:left="1785" w:right="1276"/>
        <w:jc w:val="both"/>
        <w:rPr>
          <w:rStyle w:val="default"/>
          <w:rFonts w:ascii="David" w:hAnsi="David" w:cs="David"/>
          <w:b/>
          <w:bCs/>
          <w:sz w:val="26"/>
          <w:szCs w:val="26"/>
          <w:rtl/>
        </w:rPr>
      </w:pPr>
      <w:r w:rsidRPr="007021DB">
        <w:rPr>
          <w:rStyle w:val="default"/>
          <w:rFonts w:ascii="David" w:hAnsi="David" w:cs="David"/>
          <w:b/>
          <w:bCs/>
          <w:sz w:val="26"/>
          <w:szCs w:val="26"/>
          <w:rtl/>
        </w:rPr>
        <w:t xml:space="preserve">"(א) השתכרות או רווח של אדם תושב ישראל, שהופקו או שנצמחו בישראל או מחוץ לישראל, </w:t>
      </w:r>
      <w:r w:rsidRPr="007021DB">
        <w:rPr>
          <w:rStyle w:val="default"/>
          <w:rFonts w:ascii="David" w:hAnsi="David" w:cs="David"/>
          <w:b/>
          <w:bCs/>
          <w:sz w:val="26"/>
          <w:szCs w:val="26"/>
          <w:u w:val="single"/>
          <w:rtl/>
        </w:rPr>
        <w:t>וכן השתכרות או רווח של אדם תושב חוץ, שהופקו או שנצמחו בישראל, שמקורם בהימורים, בהגרלות או בפעילות נושאת פרסים</w:t>
      </w:r>
      <w:r w:rsidRPr="007021DB">
        <w:rPr>
          <w:rStyle w:val="default"/>
          <w:rFonts w:ascii="David" w:hAnsi="David" w:cs="David"/>
          <w:b/>
          <w:bCs/>
          <w:sz w:val="26"/>
          <w:szCs w:val="26"/>
          <w:rtl/>
        </w:rPr>
        <w:t xml:space="preserve">, יובאו בחשבון בקביעת רווחים או הכנסתו ויראו אותם </w:t>
      </w:r>
      <w:proofErr w:type="spellStart"/>
      <w:r w:rsidRPr="007021DB">
        <w:rPr>
          <w:rStyle w:val="default"/>
          <w:rFonts w:ascii="David" w:hAnsi="David" w:cs="David"/>
          <w:b/>
          <w:bCs/>
          <w:sz w:val="26"/>
          <w:szCs w:val="26"/>
          <w:rtl/>
        </w:rPr>
        <w:t>לענין</w:t>
      </w:r>
      <w:proofErr w:type="spellEnd"/>
      <w:r w:rsidRPr="007021DB">
        <w:rPr>
          <w:rStyle w:val="default"/>
          <w:rFonts w:ascii="David" w:hAnsi="David" w:cs="David"/>
          <w:b/>
          <w:bCs/>
          <w:sz w:val="26"/>
          <w:szCs w:val="26"/>
          <w:rtl/>
        </w:rPr>
        <w:t xml:space="preserve"> פקודה זו כהכנסה, למעט </w:t>
      </w:r>
      <w:proofErr w:type="spellStart"/>
      <w:r w:rsidRPr="007021DB">
        <w:rPr>
          <w:rStyle w:val="default"/>
          <w:rFonts w:ascii="David" w:hAnsi="David" w:cs="David"/>
          <w:b/>
          <w:bCs/>
          <w:sz w:val="26"/>
          <w:szCs w:val="26"/>
          <w:rtl/>
        </w:rPr>
        <w:t>לענין</w:t>
      </w:r>
      <w:proofErr w:type="spellEnd"/>
      <w:r w:rsidRPr="007021DB">
        <w:rPr>
          <w:rStyle w:val="default"/>
          <w:rFonts w:ascii="David" w:hAnsi="David" w:cs="David"/>
          <w:b/>
          <w:bCs/>
          <w:sz w:val="26"/>
          <w:szCs w:val="26"/>
          <w:rtl/>
        </w:rPr>
        <w:t xml:space="preserve"> קיזוז הפסדים.</w:t>
      </w:r>
    </w:p>
    <w:p w14:paraId="479550C3" w14:textId="77777777" w:rsidR="007021DB" w:rsidRPr="007021DB" w:rsidRDefault="007021DB" w:rsidP="007021DB">
      <w:pPr>
        <w:pStyle w:val="p00"/>
        <w:bidi/>
        <w:spacing w:before="72" w:beforeAutospacing="0" w:after="0" w:afterAutospacing="0"/>
        <w:ind w:left="1785" w:right="1276"/>
        <w:jc w:val="both"/>
        <w:rPr>
          <w:rStyle w:val="default"/>
          <w:rFonts w:ascii="David" w:hAnsi="David" w:cs="David"/>
          <w:b/>
          <w:bCs/>
          <w:sz w:val="26"/>
          <w:szCs w:val="26"/>
        </w:rPr>
      </w:pPr>
      <w:r w:rsidRPr="007021DB">
        <w:rPr>
          <w:rStyle w:val="default"/>
          <w:rFonts w:ascii="David" w:hAnsi="David" w:cs="David"/>
          <w:b/>
          <w:bCs/>
          <w:sz w:val="26"/>
          <w:szCs w:val="26"/>
          <w:rtl/>
        </w:rPr>
        <w:t>(ב)  הוראות סעיף קטן (א) לא יחולו על כל אחד מאלה:</w:t>
      </w:r>
    </w:p>
    <w:p w14:paraId="46481950" w14:textId="77777777" w:rsidR="007021DB" w:rsidRPr="007021DB" w:rsidRDefault="007021DB" w:rsidP="007021DB">
      <w:pPr>
        <w:pStyle w:val="p00"/>
        <w:bidi/>
        <w:spacing w:before="72" w:beforeAutospacing="0" w:after="0" w:afterAutospacing="0"/>
        <w:ind w:left="1785" w:right="1276"/>
        <w:jc w:val="both"/>
        <w:rPr>
          <w:rStyle w:val="default"/>
          <w:rFonts w:ascii="David" w:hAnsi="David" w:cs="David"/>
          <w:b/>
          <w:bCs/>
          <w:sz w:val="26"/>
          <w:szCs w:val="26"/>
          <w:rtl/>
        </w:rPr>
      </w:pPr>
      <w:r w:rsidRPr="007021DB">
        <w:rPr>
          <w:rStyle w:val="default"/>
          <w:rFonts w:ascii="David" w:hAnsi="David" w:cs="David"/>
          <w:b/>
          <w:bCs/>
          <w:sz w:val="26"/>
          <w:szCs w:val="26"/>
          <w:rtl/>
        </w:rPr>
        <w:t>(1)   השתכרות או רווח שהם הכנסה ממקור אחר על פי פקודה זו;</w:t>
      </w:r>
    </w:p>
    <w:p w14:paraId="56FFEF0C" w14:textId="77777777" w:rsidR="007021DB" w:rsidRPr="007021DB" w:rsidRDefault="007021DB" w:rsidP="007021DB">
      <w:pPr>
        <w:pStyle w:val="p00"/>
        <w:bidi/>
        <w:spacing w:before="72" w:beforeAutospacing="0" w:after="0" w:afterAutospacing="0"/>
        <w:ind w:left="1785" w:right="1276"/>
        <w:jc w:val="both"/>
        <w:rPr>
          <w:rStyle w:val="default"/>
          <w:rFonts w:ascii="David" w:hAnsi="David" w:cs="David"/>
          <w:b/>
          <w:bCs/>
          <w:sz w:val="26"/>
          <w:szCs w:val="26"/>
          <w:rtl/>
        </w:rPr>
      </w:pPr>
      <w:r w:rsidRPr="007021DB">
        <w:rPr>
          <w:rStyle w:val="default"/>
          <w:rFonts w:ascii="David" w:hAnsi="David" w:cs="David"/>
          <w:b/>
          <w:bCs/>
          <w:sz w:val="26"/>
          <w:szCs w:val="26"/>
          <w:rtl/>
        </w:rPr>
        <w:t>(2)   השתכרות או רווח מפרסים שניתנו במסגרת אישית;</w:t>
      </w:r>
    </w:p>
    <w:p w14:paraId="33828929" w14:textId="77777777" w:rsidR="007021DB" w:rsidRPr="007021DB" w:rsidRDefault="007021DB" w:rsidP="007021DB">
      <w:pPr>
        <w:pStyle w:val="p00"/>
        <w:bidi/>
        <w:spacing w:before="72" w:beforeAutospacing="0" w:after="0" w:afterAutospacing="0"/>
        <w:ind w:left="1785" w:right="1276"/>
        <w:jc w:val="both"/>
        <w:rPr>
          <w:rStyle w:val="default"/>
          <w:rFonts w:ascii="David" w:hAnsi="David" w:cs="David"/>
          <w:b/>
          <w:bCs/>
          <w:sz w:val="26"/>
          <w:szCs w:val="26"/>
          <w:rtl/>
        </w:rPr>
      </w:pPr>
      <w:r w:rsidRPr="007021DB">
        <w:rPr>
          <w:rStyle w:val="default"/>
          <w:rFonts w:ascii="David" w:hAnsi="David" w:cs="David"/>
          <w:b/>
          <w:bCs/>
          <w:sz w:val="26"/>
          <w:szCs w:val="26"/>
          <w:rtl/>
        </w:rPr>
        <w:t>(3)   השתכרות או רווח מהגרלות או מפרסים שנקבעו על ידי שר האוצר, באישור ועדת הכספים של הכנסת".</w:t>
      </w:r>
    </w:p>
    <w:p w14:paraId="31D4AFA7" w14:textId="77777777" w:rsidR="007021DB" w:rsidRPr="007021DB" w:rsidRDefault="007021DB" w:rsidP="007021DB">
      <w:pPr>
        <w:pStyle w:val="p00"/>
        <w:bidi/>
        <w:spacing w:before="72" w:beforeAutospacing="0" w:after="0" w:afterAutospacing="0"/>
        <w:ind w:right="1276"/>
        <w:jc w:val="both"/>
        <w:rPr>
          <w:rStyle w:val="default"/>
          <w:rFonts w:ascii="David" w:hAnsi="David" w:cs="David"/>
          <w:b/>
          <w:bCs/>
          <w:sz w:val="26"/>
          <w:szCs w:val="26"/>
        </w:rPr>
      </w:pPr>
    </w:p>
    <w:p w14:paraId="476377A1" w14:textId="77777777" w:rsidR="007021DB" w:rsidRPr="007021DB" w:rsidRDefault="007021DB" w:rsidP="007021DB">
      <w:pPr>
        <w:pStyle w:val="ae"/>
        <w:widowControl w:val="0"/>
        <w:numPr>
          <w:ilvl w:val="0"/>
          <w:numId w:val="2"/>
        </w:numPr>
        <w:bidi/>
        <w:spacing w:after="0" w:line="360" w:lineRule="auto"/>
        <w:ind w:left="1077"/>
        <w:jc w:val="both"/>
        <w:rPr>
          <w:rFonts w:ascii="David" w:hAnsi="David" w:cs="David"/>
          <w:sz w:val="26"/>
          <w:szCs w:val="26"/>
          <w:lang w:bidi="he-IL"/>
        </w:rPr>
      </w:pPr>
      <w:r w:rsidRPr="007021DB">
        <w:rPr>
          <w:rFonts w:ascii="David" w:hAnsi="David" w:cs="David"/>
          <w:sz w:val="26"/>
          <w:szCs w:val="26"/>
          <w:rtl/>
          <w:lang w:bidi="he-IL"/>
        </w:rPr>
        <w:t xml:space="preserve">בדברי ההסבר בנוגע לתיקון החקיקה של סעיף 2א לפקודה, נאמרו הדברים הבאים (הצעות </w:t>
      </w:r>
      <w:proofErr w:type="spellStart"/>
      <w:r w:rsidRPr="007021DB">
        <w:rPr>
          <w:rFonts w:ascii="David" w:hAnsi="David" w:cs="David"/>
          <w:sz w:val="26"/>
          <w:szCs w:val="26"/>
          <w:rtl/>
          <w:lang w:bidi="he-IL"/>
        </w:rPr>
        <w:t>חק</w:t>
      </w:r>
      <w:proofErr w:type="spellEnd"/>
      <w:r w:rsidRPr="007021DB">
        <w:rPr>
          <w:rFonts w:ascii="David" w:hAnsi="David" w:cs="David"/>
          <w:sz w:val="26"/>
          <w:szCs w:val="26"/>
          <w:rtl/>
          <w:lang w:bidi="he-IL"/>
        </w:rPr>
        <w:t xml:space="preserve"> – הממשלה 25, כ"ח בניסן </w:t>
      </w:r>
      <w:proofErr w:type="spellStart"/>
      <w:r w:rsidRPr="007021DB">
        <w:rPr>
          <w:rFonts w:ascii="David" w:hAnsi="David" w:cs="David"/>
          <w:sz w:val="26"/>
          <w:szCs w:val="26"/>
          <w:rtl/>
          <w:lang w:bidi="he-IL"/>
        </w:rPr>
        <w:t>התשס"ג</w:t>
      </w:r>
      <w:proofErr w:type="spellEnd"/>
      <w:r w:rsidRPr="007021DB">
        <w:rPr>
          <w:rFonts w:ascii="David" w:hAnsi="David" w:cs="David"/>
          <w:sz w:val="26"/>
          <w:szCs w:val="26"/>
          <w:rtl/>
          <w:lang w:bidi="he-IL"/>
        </w:rPr>
        <w:t>, 30.4.2003, ע' 325):</w:t>
      </w:r>
    </w:p>
    <w:p w14:paraId="4DF12CC9" w14:textId="77777777" w:rsidR="007021DB" w:rsidRPr="007021DB" w:rsidRDefault="007021DB" w:rsidP="007021DB">
      <w:pPr>
        <w:pStyle w:val="p00"/>
        <w:bidi/>
        <w:spacing w:before="72" w:beforeAutospacing="0" w:after="0" w:afterAutospacing="0"/>
        <w:ind w:left="1785" w:right="1276"/>
        <w:jc w:val="both"/>
        <w:rPr>
          <w:rStyle w:val="default"/>
          <w:rFonts w:ascii="David" w:hAnsi="David" w:cs="David"/>
          <w:b/>
          <w:bCs/>
          <w:sz w:val="26"/>
          <w:szCs w:val="26"/>
        </w:rPr>
      </w:pPr>
      <w:r w:rsidRPr="007021DB">
        <w:rPr>
          <w:rStyle w:val="default"/>
          <w:rFonts w:ascii="David" w:hAnsi="David" w:cs="David"/>
          <w:b/>
          <w:bCs/>
          <w:sz w:val="26"/>
          <w:szCs w:val="26"/>
          <w:rtl/>
        </w:rPr>
        <w:t xml:space="preserve">"זכיות מהגרלות, פרסים והימורים מגדילות את עושרו של הזוכה. עם זאת, הן אינן חייבות במס. עם יישומה של הרפורמה במס והרחבת בסיס המס תוך הטלת </w:t>
      </w:r>
      <w:proofErr w:type="spellStart"/>
      <w:r w:rsidRPr="007021DB">
        <w:rPr>
          <w:rStyle w:val="default"/>
          <w:rFonts w:ascii="David" w:hAnsi="David" w:cs="David"/>
          <w:b/>
          <w:bCs/>
          <w:sz w:val="26"/>
          <w:szCs w:val="26"/>
          <w:rtl/>
        </w:rPr>
        <w:t>מסים</w:t>
      </w:r>
      <w:proofErr w:type="spellEnd"/>
      <w:r w:rsidRPr="007021DB">
        <w:rPr>
          <w:rStyle w:val="default"/>
          <w:rFonts w:ascii="David" w:hAnsi="David" w:cs="David"/>
          <w:b/>
          <w:bCs/>
          <w:sz w:val="26"/>
          <w:szCs w:val="26"/>
          <w:rtl/>
        </w:rPr>
        <w:t xml:space="preserve"> גם על ההון, אין סיבה להימנע ממיסוי זכויות מהגרלות </w:t>
      </w:r>
      <w:r w:rsidRPr="007021DB">
        <w:rPr>
          <w:rStyle w:val="default"/>
          <w:rFonts w:ascii="David" w:hAnsi="David" w:cs="David"/>
          <w:b/>
          <w:bCs/>
          <w:sz w:val="26"/>
          <w:szCs w:val="26"/>
          <w:rtl/>
        </w:rPr>
        <w:lastRenderedPageBreak/>
        <w:t>ומפעילות נושאת פרסים (להלן – זכיה). מוצע להטיל מס על זכויות בשיעור של 25%".</w:t>
      </w:r>
    </w:p>
    <w:p w14:paraId="384FF7EE" w14:textId="77777777" w:rsidR="007021DB" w:rsidRPr="007021DB" w:rsidRDefault="007021DB" w:rsidP="007021DB">
      <w:pPr>
        <w:pStyle w:val="ae"/>
        <w:widowControl w:val="0"/>
        <w:bidi/>
        <w:spacing w:after="360" w:line="360" w:lineRule="auto"/>
        <w:ind w:left="1080"/>
        <w:jc w:val="both"/>
        <w:rPr>
          <w:rFonts w:ascii="David" w:hAnsi="David" w:cs="David"/>
          <w:sz w:val="26"/>
          <w:szCs w:val="26"/>
          <w:rtl/>
          <w:lang w:bidi="he-IL"/>
        </w:rPr>
      </w:pPr>
    </w:p>
    <w:p w14:paraId="6EE7484A" w14:textId="77777777" w:rsidR="007021DB" w:rsidRPr="007021DB" w:rsidRDefault="007021DB" w:rsidP="007021DB">
      <w:pPr>
        <w:pStyle w:val="ae"/>
        <w:widowControl w:val="0"/>
        <w:numPr>
          <w:ilvl w:val="0"/>
          <w:numId w:val="2"/>
        </w:numPr>
        <w:bidi/>
        <w:spacing w:after="0" w:line="360" w:lineRule="auto"/>
        <w:ind w:left="1077"/>
        <w:jc w:val="both"/>
        <w:rPr>
          <w:rFonts w:ascii="David" w:hAnsi="David" w:cs="David"/>
          <w:sz w:val="26"/>
          <w:szCs w:val="26"/>
          <w:rtl/>
          <w:lang w:bidi="he-IL"/>
        </w:rPr>
      </w:pPr>
      <w:r w:rsidRPr="007021DB">
        <w:rPr>
          <w:rFonts w:ascii="David" w:hAnsi="David" w:cs="David"/>
          <w:sz w:val="26"/>
          <w:szCs w:val="26"/>
          <w:rtl/>
          <w:lang w:bidi="he-IL"/>
        </w:rPr>
        <w:t>סעיף 124ב לפקודה קובע את שיעור המס על הכנסה מהימורים, מהגרלות או מפרסים כדלקמן:</w:t>
      </w:r>
    </w:p>
    <w:p w14:paraId="39CD2F20" w14:textId="77777777" w:rsidR="007021DB" w:rsidRPr="007021DB" w:rsidRDefault="007021DB" w:rsidP="007021DB">
      <w:pPr>
        <w:pStyle w:val="p00"/>
        <w:bidi/>
        <w:spacing w:before="72" w:beforeAutospacing="0" w:after="0" w:afterAutospacing="0"/>
        <w:ind w:left="1785" w:right="1276"/>
        <w:jc w:val="both"/>
        <w:rPr>
          <w:rStyle w:val="default"/>
          <w:rFonts w:ascii="David" w:hAnsi="David" w:cs="David"/>
          <w:b/>
          <w:bCs/>
          <w:sz w:val="26"/>
          <w:szCs w:val="26"/>
        </w:rPr>
      </w:pPr>
      <w:r w:rsidRPr="007021DB">
        <w:rPr>
          <w:rStyle w:val="default"/>
          <w:rFonts w:ascii="David" w:hAnsi="David" w:cs="David"/>
          <w:b/>
          <w:bCs/>
          <w:sz w:val="26"/>
          <w:szCs w:val="26"/>
        </w:rPr>
        <w:t>"</w:t>
      </w:r>
      <w:r w:rsidRPr="007021DB">
        <w:rPr>
          <w:rStyle w:val="default"/>
          <w:rFonts w:ascii="David" w:hAnsi="David" w:cs="David"/>
          <w:b/>
          <w:bCs/>
          <w:sz w:val="26"/>
          <w:szCs w:val="26"/>
          <w:rtl/>
        </w:rPr>
        <w:t xml:space="preserve">על אף הוראות סעיף </w:t>
      </w:r>
      <w:proofErr w:type="gramStart"/>
      <w:r w:rsidRPr="007021DB">
        <w:rPr>
          <w:rStyle w:val="default"/>
          <w:rFonts w:ascii="David" w:hAnsi="David" w:cs="David"/>
          <w:b/>
          <w:bCs/>
          <w:sz w:val="26"/>
          <w:szCs w:val="26"/>
          <w:rtl/>
        </w:rPr>
        <w:t>121, שיעור המס על הכנסה מהימורים, מהגרלות או מפעילות נושאת פרסים, לפי סעיף 2א</w:t>
      </w:r>
      <w:proofErr w:type="gramEnd"/>
      <w:r w:rsidRPr="007021DB">
        <w:rPr>
          <w:rStyle w:val="default"/>
          <w:rFonts w:ascii="David" w:hAnsi="David" w:cs="David"/>
          <w:b/>
          <w:bCs/>
          <w:sz w:val="26"/>
          <w:szCs w:val="26"/>
          <w:rtl/>
        </w:rPr>
        <w:t>, יהיה 35%, בלא זכאות לפטור, להנחה, לניכוי, לזיכוי או לקיזוז כלשהם, למעט פטור לפי סעיף 9(28) או ניכוי לפי סעיף 17 (11</w:t>
      </w:r>
      <w:r w:rsidRPr="007021DB">
        <w:rPr>
          <w:rStyle w:val="default"/>
          <w:rFonts w:ascii="David" w:hAnsi="David" w:cs="David"/>
          <w:b/>
          <w:bCs/>
          <w:sz w:val="26"/>
          <w:szCs w:val="26"/>
        </w:rPr>
        <w:t>(</w:t>
      </w:r>
      <w:r w:rsidRPr="007021DB">
        <w:rPr>
          <w:rStyle w:val="default"/>
          <w:rFonts w:ascii="David" w:hAnsi="David" w:cs="David"/>
          <w:b/>
          <w:bCs/>
          <w:sz w:val="26"/>
          <w:szCs w:val="26"/>
          <w:rtl/>
        </w:rPr>
        <w:t>".</w:t>
      </w:r>
    </w:p>
    <w:p w14:paraId="0F95BC5D" w14:textId="77777777" w:rsidR="007021DB" w:rsidRPr="007021DB" w:rsidRDefault="007021DB" w:rsidP="007021DB">
      <w:pPr>
        <w:pStyle w:val="p00"/>
        <w:bidi/>
        <w:spacing w:before="72" w:beforeAutospacing="0" w:after="0" w:afterAutospacing="0"/>
        <w:ind w:right="1276"/>
        <w:jc w:val="both"/>
        <w:rPr>
          <w:rFonts w:ascii="David" w:hAnsi="David" w:cs="David"/>
          <w:sz w:val="26"/>
          <w:szCs w:val="26"/>
          <w:rtl/>
        </w:rPr>
      </w:pPr>
    </w:p>
    <w:p w14:paraId="7E67F82D" w14:textId="77777777" w:rsidR="007021DB" w:rsidRPr="007021DB" w:rsidRDefault="007021DB" w:rsidP="007021DB">
      <w:pPr>
        <w:pStyle w:val="ae"/>
        <w:widowControl w:val="0"/>
        <w:numPr>
          <w:ilvl w:val="0"/>
          <w:numId w:val="2"/>
        </w:numPr>
        <w:bidi/>
        <w:spacing w:after="360" w:line="360" w:lineRule="auto"/>
        <w:jc w:val="both"/>
        <w:rPr>
          <w:rFonts w:ascii="David" w:hAnsi="David" w:cs="David"/>
          <w:sz w:val="26"/>
          <w:szCs w:val="26"/>
          <w:rtl/>
          <w:lang w:bidi="he-IL"/>
        </w:rPr>
      </w:pPr>
      <w:r w:rsidRPr="007021DB">
        <w:rPr>
          <w:rFonts w:ascii="David" w:hAnsi="David" w:cs="David"/>
          <w:sz w:val="26"/>
          <w:szCs w:val="26"/>
          <w:rtl/>
          <w:lang w:bidi="he-IL"/>
        </w:rPr>
        <w:t xml:space="preserve">יש לציין כי שיעור המס תוקן מספר פעמים מאז חקיקת התיקון הנ"ל כך שהיה </w:t>
      </w:r>
      <w:r w:rsidR="002C5857">
        <w:rPr>
          <w:rFonts w:ascii="David" w:hAnsi="David" w:cs="David" w:hint="cs"/>
          <w:sz w:val="26"/>
          <w:szCs w:val="26"/>
          <w:rtl/>
          <w:lang w:bidi="he-IL"/>
        </w:rPr>
        <w:t xml:space="preserve">בשיעור </w:t>
      </w:r>
      <w:r w:rsidRPr="007021DB">
        <w:rPr>
          <w:rFonts w:ascii="David" w:hAnsi="David" w:cs="David"/>
          <w:sz w:val="26"/>
          <w:szCs w:val="26"/>
          <w:rtl/>
          <w:lang w:bidi="he-IL"/>
        </w:rPr>
        <w:t>25% בתחילה, לאחר מכן, עלה שיעור המס ל-30% (בזמן זכיית המערער) וכעת, עומד שיעור המס על זכיות בהגרלות על 35%. בענייננו, שיעור המס הרלוונטי עומד על 30%.</w:t>
      </w:r>
    </w:p>
    <w:p w14:paraId="75A8BF9E" w14:textId="77777777" w:rsidR="007021DB" w:rsidRPr="007021DB" w:rsidRDefault="007021DB" w:rsidP="007021DB">
      <w:pPr>
        <w:pStyle w:val="ae"/>
        <w:widowControl w:val="0"/>
        <w:bidi/>
        <w:spacing w:after="360" w:line="360" w:lineRule="auto"/>
        <w:ind w:left="1080"/>
        <w:jc w:val="both"/>
        <w:rPr>
          <w:rFonts w:ascii="David" w:hAnsi="David" w:cs="David"/>
          <w:sz w:val="26"/>
          <w:szCs w:val="26"/>
          <w:rtl/>
          <w:lang w:bidi="he-IL"/>
        </w:rPr>
      </w:pPr>
    </w:p>
    <w:p w14:paraId="65CC188B" w14:textId="77777777" w:rsidR="007021DB" w:rsidRPr="007021DB" w:rsidRDefault="007021DB" w:rsidP="007021DB">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 xml:space="preserve">פרוטוקול פריז אליו מפנה המערער אינו רלוונטי לעניינו. במסגרתו, נקבע כי כל צד יוכל לקבוע את הסדרי המס שלו וכך נעשה בענייננו. המערער גם סותר את עצמו כאשר מחד, טוען כי לא היה מקום </w:t>
      </w:r>
      <w:proofErr w:type="spellStart"/>
      <w:r w:rsidRPr="007021DB">
        <w:rPr>
          <w:rFonts w:ascii="David" w:hAnsi="David" w:cs="David"/>
          <w:sz w:val="26"/>
          <w:szCs w:val="26"/>
          <w:rtl/>
          <w:lang w:bidi="he-IL"/>
        </w:rPr>
        <w:t>למסותו</w:t>
      </w:r>
      <w:proofErr w:type="spellEnd"/>
      <w:r w:rsidRPr="007021DB">
        <w:rPr>
          <w:rFonts w:ascii="David" w:hAnsi="David" w:cs="David"/>
          <w:sz w:val="26"/>
          <w:szCs w:val="26"/>
          <w:rtl/>
          <w:lang w:bidi="he-IL"/>
        </w:rPr>
        <w:t xml:space="preserve"> כלל כתושב הרשות הפלסטינאית ומאידך, כי ככל שהיה מקום </w:t>
      </w:r>
      <w:proofErr w:type="spellStart"/>
      <w:r w:rsidRPr="007021DB">
        <w:rPr>
          <w:rFonts w:ascii="David" w:hAnsi="David" w:cs="David"/>
          <w:sz w:val="26"/>
          <w:szCs w:val="26"/>
          <w:rtl/>
          <w:lang w:bidi="he-IL"/>
        </w:rPr>
        <w:t>למסותו</w:t>
      </w:r>
      <w:proofErr w:type="spellEnd"/>
      <w:r w:rsidRPr="007021DB">
        <w:rPr>
          <w:rFonts w:ascii="David" w:hAnsi="David" w:cs="David"/>
          <w:sz w:val="26"/>
          <w:szCs w:val="26"/>
          <w:rtl/>
          <w:lang w:bidi="he-IL"/>
        </w:rPr>
        <w:t>, יש להעביר 75% מהמס לרשות הפלסטינאית. מצאתי כי יש מקום לדחות את טענת המערער בנוגע לפרוטוקול פריז ולקבוע כי אינו רלוונטי לענייננו.</w:t>
      </w:r>
    </w:p>
    <w:p w14:paraId="61D667FB" w14:textId="77777777" w:rsidR="007021DB" w:rsidRPr="007021DB" w:rsidRDefault="007021DB" w:rsidP="007021DB">
      <w:pPr>
        <w:pStyle w:val="ae"/>
        <w:rPr>
          <w:rFonts w:ascii="David" w:hAnsi="David" w:cs="David"/>
          <w:sz w:val="26"/>
          <w:szCs w:val="26"/>
          <w:lang w:bidi="he-IL"/>
        </w:rPr>
      </w:pPr>
    </w:p>
    <w:p w14:paraId="79600011" w14:textId="77777777" w:rsidR="007021DB" w:rsidRPr="007021DB" w:rsidRDefault="007021DB" w:rsidP="007021DB">
      <w:pPr>
        <w:pStyle w:val="ae"/>
        <w:widowControl w:val="0"/>
        <w:numPr>
          <w:ilvl w:val="0"/>
          <w:numId w:val="2"/>
        </w:numPr>
        <w:bidi/>
        <w:spacing w:after="0" w:line="360" w:lineRule="auto"/>
        <w:ind w:left="1077"/>
        <w:jc w:val="both"/>
        <w:rPr>
          <w:rFonts w:ascii="David" w:hAnsi="David" w:cs="David"/>
          <w:sz w:val="26"/>
          <w:szCs w:val="26"/>
          <w:rtl/>
          <w:lang w:bidi="he-IL"/>
        </w:rPr>
      </w:pPr>
      <w:r w:rsidRPr="007021DB">
        <w:rPr>
          <w:rFonts w:ascii="David" w:hAnsi="David" w:cs="David"/>
          <w:sz w:val="26"/>
          <w:szCs w:val="26"/>
          <w:rtl/>
          <w:lang w:bidi="he-IL"/>
        </w:rPr>
        <w:t>סעיף 147 לפקודה קובע את סמכות המנהל לעיין ו</w:t>
      </w:r>
      <w:r w:rsidR="002C5857">
        <w:rPr>
          <w:rFonts w:ascii="David" w:hAnsi="David" w:cs="David" w:hint="cs"/>
          <w:sz w:val="26"/>
          <w:szCs w:val="26"/>
          <w:rtl/>
          <w:lang w:bidi="he-IL"/>
        </w:rPr>
        <w:t>ל</w:t>
      </w:r>
      <w:r w:rsidRPr="007021DB">
        <w:rPr>
          <w:rFonts w:ascii="David" w:hAnsi="David" w:cs="David"/>
          <w:sz w:val="26"/>
          <w:szCs w:val="26"/>
          <w:rtl/>
          <w:lang w:bidi="he-IL"/>
        </w:rPr>
        <w:t>תקן את השומה. בקשר לכך, מתאים להביא את הסעיף הרלוונטי במלואו:</w:t>
      </w:r>
    </w:p>
    <w:p w14:paraId="72EF7DFD" w14:textId="77777777" w:rsidR="007021DB" w:rsidRPr="007021DB" w:rsidRDefault="007021DB" w:rsidP="007021DB">
      <w:pPr>
        <w:pStyle w:val="p00"/>
        <w:bidi/>
        <w:spacing w:before="72" w:beforeAutospacing="0" w:after="0" w:afterAutospacing="0"/>
        <w:ind w:left="1785" w:right="1276"/>
        <w:jc w:val="both"/>
        <w:rPr>
          <w:rStyle w:val="default"/>
          <w:rFonts w:ascii="David" w:hAnsi="David" w:cs="David"/>
          <w:b/>
          <w:bCs/>
          <w:sz w:val="26"/>
          <w:szCs w:val="26"/>
        </w:rPr>
      </w:pPr>
      <w:r w:rsidRPr="007021DB">
        <w:rPr>
          <w:rStyle w:val="default"/>
          <w:rFonts w:ascii="David" w:hAnsi="David" w:cs="David"/>
          <w:b/>
          <w:bCs/>
          <w:sz w:val="26"/>
          <w:szCs w:val="26"/>
          <w:rtl/>
        </w:rPr>
        <w:t xml:space="preserve">"(א)   (1)   המנהל רשאי, ביזמתו הוא או לבקשת הנישום, תוך התקופה המסתיימת כתום שנה לאחר התקופות שנקבעו בסעיפים 145(א) או 152(ג) לפי המאוחר, או תוך שש שנים מיום שנעשתה לנישום שומה לפי סעיף 145(ב), לפי </w:t>
      </w:r>
      <w:proofErr w:type="spellStart"/>
      <w:r w:rsidRPr="007021DB">
        <w:rPr>
          <w:rStyle w:val="default"/>
          <w:rFonts w:ascii="David" w:hAnsi="David" w:cs="David"/>
          <w:b/>
          <w:bCs/>
          <w:sz w:val="26"/>
          <w:szCs w:val="26"/>
          <w:rtl/>
        </w:rPr>
        <w:t>הענין</w:t>
      </w:r>
      <w:proofErr w:type="spellEnd"/>
      <w:r w:rsidRPr="007021DB">
        <w:rPr>
          <w:rStyle w:val="default"/>
          <w:rFonts w:ascii="David" w:hAnsi="David" w:cs="David"/>
          <w:b/>
          <w:bCs/>
          <w:sz w:val="26"/>
          <w:szCs w:val="26"/>
          <w:rtl/>
        </w:rPr>
        <w:t xml:space="preserve">, לדרוש את הפרוטוקול של כל הליך לפי פקודה זו שנקט פקיד השומה, ומשקיבל את הפרוטוקול רשאי הוא לערוך כל חקירה שתיראה לו, או להביא לעריכת חקירה כאמור, ורשאי הוא, בכפוף להוראות פקודה זו, ליתן </w:t>
      </w:r>
      <w:proofErr w:type="spellStart"/>
      <w:r w:rsidRPr="007021DB">
        <w:rPr>
          <w:rStyle w:val="default"/>
          <w:rFonts w:ascii="David" w:hAnsi="David" w:cs="David"/>
          <w:b/>
          <w:bCs/>
          <w:sz w:val="26"/>
          <w:szCs w:val="26"/>
          <w:rtl/>
        </w:rPr>
        <w:t>בענין</w:t>
      </w:r>
      <w:proofErr w:type="spellEnd"/>
      <w:r w:rsidRPr="007021DB">
        <w:rPr>
          <w:rStyle w:val="default"/>
          <w:rFonts w:ascii="David" w:hAnsi="David" w:cs="David"/>
          <w:b/>
          <w:bCs/>
          <w:sz w:val="26"/>
          <w:szCs w:val="26"/>
          <w:rtl/>
        </w:rPr>
        <w:t xml:space="preserve"> זה כל צו שייראה לו;</w:t>
      </w:r>
    </w:p>
    <w:p w14:paraId="68C14FD0" w14:textId="77777777" w:rsidR="007021DB" w:rsidRPr="007021DB" w:rsidRDefault="007021DB" w:rsidP="007021DB">
      <w:pPr>
        <w:pStyle w:val="p00"/>
        <w:bidi/>
        <w:spacing w:before="72" w:beforeAutospacing="0" w:after="0" w:afterAutospacing="0"/>
        <w:ind w:left="1785" w:right="1276"/>
        <w:jc w:val="both"/>
        <w:rPr>
          <w:rStyle w:val="default"/>
          <w:rFonts w:ascii="David" w:hAnsi="David" w:cs="David"/>
          <w:b/>
          <w:bCs/>
          <w:sz w:val="26"/>
          <w:szCs w:val="26"/>
        </w:rPr>
      </w:pPr>
      <w:r w:rsidRPr="007021DB">
        <w:rPr>
          <w:rStyle w:val="default"/>
          <w:rFonts w:ascii="David" w:hAnsi="David" w:cs="David"/>
          <w:b/>
          <w:bCs/>
          <w:sz w:val="26"/>
          <w:szCs w:val="26"/>
          <w:rtl/>
        </w:rPr>
        <w:t xml:space="preserve">(2)   הורשע הנישום בעבירה לפי סעיפים 216(8), 216ב 217 עד 220 או לפי סעיפים 117(ב)(1), או (3) עד (8), 117(ב2) או 117א לחוק מס ערך מוסף או הוטל עליו כופר כסף לפי סעיף 221 או לפי סעיף 121 לחוק מס ערך מוסף, רשאי המנהל </w:t>
      </w:r>
      <w:r w:rsidRPr="007021DB">
        <w:rPr>
          <w:rStyle w:val="default"/>
          <w:rFonts w:ascii="David" w:hAnsi="David" w:cs="David"/>
          <w:b/>
          <w:bCs/>
          <w:sz w:val="26"/>
          <w:szCs w:val="26"/>
          <w:rtl/>
        </w:rPr>
        <w:lastRenderedPageBreak/>
        <w:t xml:space="preserve">לפעול כאמור בפסקה (1), תוך תקופה המסתיימת בתום שנה מיום ההרשעה או מיום תשלום הכופר, לפי </w:t>
      </w:r>
      <w:proofErr w:type="spellStart"/>
      <w:r w:rsidRPr="007021DB">
        <w:rPr>
          <w:rStyle w:val="default"/>
          <w:rFonts w:ascii="David" w:hAnsi="David" w:cs="David"/>
          <w:b/>
          <w:bCs/>
          <w:sz w:val="26"/>
          <w:szCs w:val="26"/>
          <w:rtl/>
        </w:rPr>
        <w:t>הענין</w:t>
      </w:r>
      <w:proofErr w:type="spellEnd"/>
      <w:r w:rsidRPr="007021DB">
        <w:rPr>
          <w:rStyle w:val="default"/>
          <w:rFonts w:ascii="David" w:hAnsi="David" w:cs="David"/>
          <w:b/>
          <w:bCs/>
          <w:sz w:val="26"/>
          <w:szCs w:val="26"/>
          <w:rtl/>
        </w:rPr>
        <w:t>, או עד תום התקופה הקבועה בפסקה (1), לפי המאוחר;</w:t>
      </w:r>
    </w:p>
    <w:p w14:paraId="5B1FD6F9" w14:textId="77777777" w:rsidR="007021DB" w:rsidRPr="007021DB" w:rsidRDefault="007021DB" w:rsidP="007021DB">
      <w:pPr>
        <w:pStyle w:val="p00"/>
        <w:bidi/>
        <w:spacing w:before="72" w:beforeAutospacing="0" w:after="0" w:afterAutospacing="0"/>
        <w:ind w:left="1785" w:right="1276"/>
        <w:jc w:val="both"/>
        <w:rPr>
          <w:rStyle w:val="default"/>
          <w:rFonts w:ascii="David" w:hAnsi="David" w:cs="David"/>
          <w:b/>
          <w:bCs/>
          <w:sz w:val="26"/>
          <w:szCs w:val="26"/>
          <w:rtl/>
        </w:rPr>
      </w:pPr>
      <w:r w:rsidRPr="007021DB">
        <w:rPr>
          <w:rStyle w:val="default"/>
          <w:rFonts w:ascii="David" w:hAnsi="David" w:cs="David"/>
          <w:b/>
          <w:bCs/>
          <w:sz w:val="26"/>
          <w:szCs w:val="26"/>
          <w:rtl/>
        </w:rPr>
        <w:t>(3)   מסר אדם דו"ח לפי סעיף 145(א)(1) ופקיד השומה לא הפעיל את סמכותו לפי סעיף 145(א)(2), רשאי המנהל לפעול כאמור בסעיף זה רק אם הנישום הורשע בעבירה לפי סעיפים 216(8), 216ב או 217 עד 220 או הוטל עליו כופר כסף לפי סעיף 221.</w:t>
      </w:r>
    </w:p>
    <w:p w14:paraId="6F86E453" w14:textId="77777777" w:rsidR="007021DB" w:rsidRPr="007021DB" w:rsidRDefault="007021DB" w:rsidP="007021DB">
      <w:pPr>
        <w:pStyle w:val="p00"/>
        <w:bidi/>
        <w:spacing w:before="72" w:beforeAutospacing="0" w:after="0" w:afterAutospacing="0"/>
        <w:ind w:left="1785" w:right="1276"/>
        <w:jc w:val="both"/>
        <w:rPr>
          <w:rStyle w:val="default"/>
          <w:rFonts w:ascii="David" w:hAnsi="David" w:cs="David"/>
          <w:b/>
          <w:bCs/>
          <w:sz w:val="26"/>
          <w:szCs w:val="26"/>
          <w:rtl/>
        </w:rPr>
      </w:pPr>
      <w:r w:rsidRPr="007021DB">
        <w:rPr>
          <w:rStyle w:val="default"/>
          <w:rFonts w:ascii="David" w:hAnsi="David" w:cs="David"/>
          <w:b/>
          <w:bCs/>
          <w:sz w:val="26"/>
          <w:szCs w:val="26"/>
          <w:rtl/>
        </w:rPr>
        <w:t xml:space="preserve">(ב)  צו לפי סעיף קטן (א) יינתן על ידי המנהל או על ידי מי שהוסמך לכך על ידיו, ושומה שנעשתה בעקבות צו שניתן כאמור, דינה </w:t>
      </w:r>
      <w:proofErr w:type="spellStart"/>
      <w:r w:rsidRPr="007021DB">
        <w:rPr>
          <w:rStyle w:val="default"/>
          <w:rFonts w:ascii="David" w:hAnsi="David" w:cs="David"/>
          <w:b/>
          <w:bCs/>
          <w:sz w:val="26"/>
          <w:szCs w:val="26"/>
          <w:rtl/>
        </w:rPr>
        <w:t>לענין</w:t>
      </w:r>
      <w:proofErr w:type="spellEnd"/>
      <w:r w:rsidRPr="007021DB">
        <w:rPr>
          <w:rStyle w:val="default"/>
          <w:rFonts w:ascii="David" w:hAnsi="David" w:cs="David"/>
          <w:b/>
          <w:bCs/>
          <w:sz w:val="26"/>
          <w:szCs w:val="26"/>
          <w:rtl/>
        </w:rPr>
        <w:t xml:space="preserve"> ערעור כדין הצו.</w:t>
      </w:r>
    </w:p>
    <w:p w14:paraId="24F22423" w14:textId="77777777" w:rsidR="007021DB" w:rsidRPr="007021DB" w:rsidRDefault="007021DB" w:rsidP="007021DB">
      <w:pPr>
        <w:pStyle w:val="p00"/>
        <w:bidi/>
        <w:spacing w:before="72" w:beforeAutospacing="0" w:after="0" w:afterAutospacing="0"/>
        <w:ind w:left="1785" w:right="1276"/>
        <w:jc w:val="both"/>
        <w:rPr>
          <w:rStyle w:val="default"/>
          <w:rFonts w:ascii="David" w:hAnsi="David" w:cs="David"/>
          <w:b/>
          <w:bCs/>
          <w:sz w:val="26"/>
          <w:szCs w:val="26"/>
          <w:rtl/>
        </w:rPr>
      </w:pPr>
      <w:r w:rsidRPr="007021DB">
        <w:rPr>
          <w:rStyle w:val="default"/>
          <w:rFonts w:ascii="David" w:hAnsi="David" w:cs="David"/>
          <w:b/>
          <w:bCs/>
          <w:sz w:val="26"/>
          <w:szCs w:val="26"/>
          <w:rtl/>
        </w:rPr>
        <w:t>(ג)   לא יינתן צו לפי סעיף קטן (א) המגדיל את השומה אלא לאחר שניתנה לנישום הזדמנות סבירה להשמיע טענותיו.</w:t>
      </w:r>
    </w:p>
    <w:p w14:paraId="7861206A" w14:textId="77777777" w:rsidR="007021DB" w:rsidRPr="007021DB" w:rsidRDefault="007021DB" w:rsidP="007021DB">
      <w:pPr>
        <w:pStyle w:val="p00"/>
        <w:bidi/>
        <w:spacing w:before="72" w:beforeAutospacing="0" w:after="0" w:afterAutospacing="0"/>
        <w:ind w:left="1785" w:right="1276"/>
        <w:jc w:val="both"/>
        <w:rPr>
          <w:rStyle w:val="default"/>
          <w:rFonts w:ascii="David" w:hAnsi="David" w:cs="David"/>
          <w:b/>
          <w:bCs/>
          <w:sz w:val="26"/>
          <w:szCs w:val="26"/>
          <w:rtl/>
        </w:rPr>
      </w:pPr>
      <w:r w:rsidRPr="007021DB">
        <w:rPr>
          <w:rStyle w:val="default"/>
          <w:rFonts w:ascii="David" w:hAnsi="David" w:cs="David"/>
          <w:b/>
          <w:bCs/>
          <w:sz w:val="26"/>
          <w:szCs w:val="26"/>
          <w:rtl/>
        </w:rPr>
        <w:t xml:space="preserve">(ד)  צו לפי סעיף קטן (א) המגדיל את השומה, דינו </w:t>
      </w:r>
      <w:proofErr w:type="spellStart"/>
      <w:r w:rsidRPr="007021DB">
        <w:rPr>
          <w:rStyle w:val="default"/>
          <w:rFonts w:ascii="David" w:hAnsi="David" w:cs="David"/>
          <w:b/>
          <w:bCs/>
          <w:sz w:val="26"/>
          <w:szCs w:val="26"/>
          <w:rtl/>
        </w:rPr>
        <w:t>לענין</w:t>
      </w:r>
      <w:proofErr w:type="spellEnd"/>
      <w:r w:rsidRPr="007021DB">
        <w:rPr>
          <w:rStyle w:val="default"/>
          <w:rFonts w:ascii="David" w:hAnsi="David" w:cs="David"/>
          <w:b/>
          <w:bCs/>
          <w:sz w:val="26"/>
          <w:szCs w:val="26"/>
          <w:rtl/>
        </w:rPr>
        <w:t xml:space="preserve"> ערעור, כדין צו לפי סעיף 152(ב).</w:t>
      </w:r>
    </w:p>
    <w:p w14:paraId="41256A35" w14:textId="77777777" w:rsidR="007021DB" w:rsidRPr="007021DB" w:rsidRDefault="007021DB" w:rsidP="007021DB">
      <w:pPr>
        <w:pStyle w:val="p00"/>
        <w:bidi/>
        <w:spacing w:before="72" w:beforeAutospacing="0" w:after="0" w:afterAutospacing="0"/>
        <w:ind w:left="1785" w:right="1276"/>
        <w:jc w:val="both"/>
        <w:rPr>
          <w:rStyle w:val="default"/>
          <w:rFonts w:ascii="David" w:hAnsi="David" w:cs="David"/>
          <w:b/>
          <w:bCs/>
          <w:sz w:val="26"/>
          <w:szCs w:val="26"/>
          <w:rtl/>
        </w:rPr>
      </w:pPr>
      <w:r w:rsidRPr="007021DB">
        <w:rPr>
          <w:rStyle w:val="default"/>
          <w:rFonts w:ascii="David" w:hAnsi="David" w:cs="David"/>
          <w:b/>
          <w:bCs/>
          <w:sz w:val="26"/>
          <w:szCs w:val="26"/>
          <w:rtl/>
        </w:rPr>
        <w:t>(ה)  צו לפי סעיף קטן (א) המקטין את השומה, שניתן לפני תום המועד להגשת ערעור, לא תהיה לנישום עוד זכות לערער על אותה שומה, אלא רשאי הוא לערער על הצו כאילו היה צו לפי סעיף 152(ב).</w:t>
      </w:r>
    </w:p>
    <w:p w14:paraId="53685C14" w14:textId="77777777" w:rsidR="007021DB" w:rsidRPr="007021DB" w:rsidRDefault="007021DB" w:rsidP="007021DB">
      <w:pPr>
        <w:pStyle w:val="p00"/>
        <w:bidi/>
        <w:spacing w:before="72" w:beforeAutospacing="0" w:after="0" w:afterAutospacing="0"/>
        <w:ind w:left="1785" w:right="1276"/>
        <w:jc w:val="both"/>
        <w:rPr>
          <w:rStyle w:val="default"/>
          <w:rFonts w:ascii="David" w:hAnsi="David" w:cs="David"/>
          <w:b/>
          <w:bCs/>
          <w:sz w:val="26"/>
          <w:szCs w:val="26"/>
          <w:rtl/>
        </w:rPr>
      </w:pPr>
      <w:r w:rsidRPr="007021DB">
        <w:rPr>
          <w:rStyle w:val="default"/>
          <w:rFonts w:ascii="David" w:hAnsi="David" w:cs="David"/>
          <w:b/>
          <w:bCs/>
          <w:sz w:val="26"/>
          <w:szCs w:val="26"/>
          <w:rtl/>
        </w:rPr>
        <w:t>(ו)   ניתן צו לפי סעיף קטן (א) לאחר שהוגש ערעור על השומה אך בטרם נסתיימו ההליכים בערעור, ידונו בו כאילו היה ערעור על הצו".</w:t>
      </w:r>
    </w:p>
    <w:p w14:paraId="65A14986" w14:textId="77777777" w:rsidR="007021DB" w:rsidRPr="007021DB" w:rsidRDefault="007021DB" w:rsidP="007021DB">
      <w:pPr>
        <w:pStyle w:val="ae"/>
        <w:widowControl w:val="0"/>
        <w:bidi/>
        <w:spacing w:after="360" w:line="360" w:lineRule="auto"/>
        <w:ind w:left="1080"/>
        <w:jc w:val="both"/>
        <w:rPr>
          <w:rFonts w:ascii="David" w:hAnsi="David" w:cs="David"/>
          <w:sz w:val="26"/>
          <w:szCs w:val="26"/>
          <w:rtl/>
          <w:lang w:bidi="he-IL"/>
        </w:rPr>
      </w:pPr>
    </w:p>
    <w:p w14:paraId="778E86D9" w14:textId="77777777" w:rsidR="007021DB" w:rsidRPr="007021DB" w:rsidRDefault="007021DB" w:rsidP="007021DB">
      <w:pPr>
        <w:pStyle w:val="ae"/>
        <w:widowControl w:val="0"/>
        <w:numPr>
          <w:ilvl w:val="0"/>
          <w:numId w:val="2"/>
        </w:numPr>
        <w:bidi/>
        <w:spacing w:after="360" w:line="360" w:lineRule="auto"/>
        <w:jc w:val="both"/>
        <w:rPr>
          <w:rFonts w:ascii="David" w:hAnsi="David" w:cs="David"/>
          <w:sz w:val="26"/>
          <w:szCs w:val="26"/>
          <w:rtl/>
          <w:lang w:bidi="he-IL"/>
        </w:rPr>
      </w:pPr>
      <w:r w:rsidRPr="007021DB">
        <w:rPr>
          <w:rFonts w:ascii="David" w:hAnsi="David" w:cs="David"/>
          <w:sz w:val="26"/>
          <w:szCs w:val="26"/>
          <w:rtl/>
          <w:lang w:bidi="he-IL"/>
        </w:rPr>
        <w:t xml:space="preserve">לאחר שקילת המכלול, </w:t>
      </w:r>
      <w:r w:rsidRPr="007021DB">
        <w:rPr>
          <w:rFonts w:ascii="David" w:hAnsi="David" w:cs="David"/>
          <w:bCs/>
          <w:sz w:val="26"/>
          <w:szCs w:val="26"/>
          <w:u w:val="single"/>
          <w:rtl/>
          <w:lang w:bidi="he-IL"/>
        </w:rPr>
        <w:t>הגעתי למסקנה כי דין הער</w:t>
      </w:r>
      <w:r w:rsidR="00875259">
        <w:rPr>
          <w:rFonts w:ascii="David" w:hAnsi="David" w:cs="David" w:hint="cs"/>
          <w:bCs/>
          <w:sz w:val="26"/>
          <w:szCs w:val="26"/>
          <w:u w:val="single"/>
          <w:rtl/>
          <w:lang w:bidi="he-IL"/>
        </w:rPr>
        <w:t>עו</w:t>
      </w:r>
      <w:r w:rsidRPr="007021DB">
        <w:rPr>
          <w:rFonts w:ascii="David" w:hAnsi="David" w:cs="David"/>
          <w:bCs/>
          <w:sz w:val="26"/>
          <w:szCs w:val="26"/>
          <w:u w:val="single"/>
          <w:rtl/>
          <w:lang w:bidi="he-IL"/>
        </w:rPr>
        <w:t>ר להידחות</w:t>
      </w:r>
      <w:r w:rsidRPr="007021DB">
        <w:rPr>
          <w:rFonts w:ascii="David" w:hAnsi="David" w:cs="David"/>
          <w:sz w:val="26"/>
          <w:szCs w:val="26"/>
          <w:rtl/>
          <w:lang w:bidi="he-IL"/>
        </w:rPr>
        <w:t xml:space="preserve">. </w:t>
      </w:r>
    </w:p>
    <w:p w14:paraId="31D825A0" w14:textId="77777777" w:rsidR="007021DB" w:rsidRPr="007021DB" w:rsidRDefault="007021DB" w:rsidP="007021DB">
      <w:pPr>
        <w:pStyle w:val="ae"/>
        <w:rPr>
          <w:rFonts w:ascii="David" w:hAnsi="David" w:cs="David"/>
          <w:sz w:val="26"/>
          <w:szCs w:val="26"/>
          <w:lang w:bidi="he-IL"/>
        </w:rPr>
      </w:pPr>
    </w:p>
    <w:p w14:paraId="4C282917" w14:textId="77777777" w:rsidR="007021DB" w:rsidRPr="007021DB" w:rsidRDefault="007021DB" w:rsidP="002C5857">
      <w:pPr>
        <w:pStyle w:val="ae"/>
        <w:widowControl w:val="0"/>
        <w:numPr>
          <w:ilvl w:val="0"/>
          <w:numId w:val="2"/>
        </w:numPr>
        <w:bidi/>
        <w:spacing w:after="360" w:line="360" w:lineRule="auto"/>
        <w:jc w:val="both"/>
        <w:rPr>
          <w:rFonts w:ascii="David" w:hAnsi="David" w:cs="David"/>
          <w:sz w:val="26"/>
          <w:szCs w:val="26"/>
          <w:rtl/>
          <w:lang w:bidi="he-IL"/>
        </w:rPr>
      </w:pPr>
      <w:r w:rsidRPr="007021DB">
        <w:rPr>
          <w:rFonts w:ascii="David" w:hAnsi="David" w:cs="David"/>
          <w:sz w:val="26"/>
          <w:szCs w:val="26"/>
          <w:rtl/>
          <w:lang w:bidi="he-IL"/>
        </w:rPr>
        <w:t xml:space="preserve">אסביר להלן כיצד הגעתי </w:t>
      </w:r>
      <w:r w:rsidR="002C5857">
        <w:rPr>
          <w:rFonts w:ascii="David" w:hAnsi="David" w:cs="David" w:hint="cs"/>
          <w:sz w:val="26"/>
          <w:szCs w:val="26"/>
          <w:rtl/>
          <w:lang w:bidi="he-IL"/>
        </w:rPr>
        <w:t>למסקנה</w:t>
      </w:r>
      <w:r w:rsidRPr="007021DB">
        <w:rPr>
          <w:rFonts w:ascii="David" w:hAnsi="David" w:cs="David"/>
          <w:sz w:val="26"/>
          <w:szCs w:val="26"/>
          <w:rtl/>
          <w:lang w:bidi="he-IL"/>
        </w:rPr>
        <w:t xml:space="preserve"> האמורה.</w:t>
      </w:r>
    </w:p>
    <w:p w14:paraId="3BBD3983" w14:textId="77777777" w:rsidR="007021DB" w:rsidRPr="007021DB" w:rsidRDefault="007021DB" w:rsidP="007021DB">
      <w:pPr>
        <w:pStyle w:val="ae"/>
        <w:rPr>
          <w:rFonts w:ascii="David" w:hAnsi="David" w:cs="David"/>
          <w:sz w:val="26"/>
          <w:szCs w:val="26"/>
          <w:lang w:bidi="he-IL"/>
        </w:rPr>
      </w:pPr>
    </w:p>
    <w:p w14:paraId="65542E7B" w14:textId="77777777" w:rsidR="007021DB" w:rsidRPr="007021DB" w:rsidRDefault="007021DB" w:rsidP="002C5857">
      <w:pPr>
        <w:pStyle w:val="ae"/>
        <w:widowControl w:val="0"/>
        <w:numPr>
          <w:ilvl w:val="0"/>
          <w:numId w:val="2"/>
        </w:numPr>
        <w:bidi/>
        <w:spacing w:after="360" w:line="360" w:lineRule="auto"/>
        <w:jc w:val="both"/>
        <w:rPr>
          <w:rFonts w:ascii="David" w:hAnsi="David" w:cs="David"/>
          <w:sz w:val="26"/>
          <w:szCs w:val="26"/>
          <w:rtl/>
          <w:lang w:bidi="he-IL"/>
        </w:rPr>
      </w:pPr>
      <w:r w:rsidRPr="007021DB">
        <w:rPr>
          <w:rFonts w:ascii="David" w:hAnsi="David" w:cs="David"/>
          <w:sz w:val="26"/>
          <w:szCs w:val="26"/>
          <w:rtl/>
          <w:lang w:bidi="he-IL"/>
        </w:rPr>
        <w:t>המערער אינו מציג עמדתה קו</w:t>
      </w:r>
      <w:r w:rsidR="002C5857">
        <w:rPr>
          <w:rFonts w:ascii="David" w:hAnsi="David" w:cs="David" w:hint="cs"/>
          <w:sz w:val="26"/>
          <w:szCs w:val="26"/>
          <w:rtl/>
          <w:lang w:bidi="he-IL"/>
        </w:rPr>
        <w:t>ה</w:t>
      </w:r>
      <w:r w:rsidRPr="007021DB">
        <w:rPr>
          <w:rFonts w:ascii="David" w:hAnsi="David" w:cs="David"/>
          <w:sz w:val="26"/>
          <w:szCs w:val="26"/>
          <w:rtl/>
          <w:lang w:bidi="he-IL"/>
        </w:rPr>
        <w:t>רנטית שמגובה בחקיקה ובפסיקה מתאימה. הוראות החוק שהובאו לעיל מביאות את ההסדר החוקי הנוגע למיסוי של זכיה בפרסים ובהגרלות. דברי ההסבר של סעיף 2א לפקודה ברורים ואינם משתמעים לשתי פנים.</w:t>
      </w:r>
    </w:p>
    <w:p w14:paraId="698800FE" w14:textId="77777777" w:rsidR="007021DB" w:rsidRPr="007021DB" w:rsidRDefault="007021DB" w:rsidP="007021DB">
      <w:pPr>
        <w:pStyle w:val="ae"/>
        <w:rPr>
          <w:rFonts w:ascii="David" w:hAnsi="David" w:cs="David"/>
          <w:sz w:val="26"/>
          <w:szCs w:val="26"/>
          <w:lang w:bidi="he-IL"/>
        </w:rPr>
      </w:pPr>
    </w:p>
    <w:p w14:paraId="219B0816" w14:textId="77777777" w:rsidR="007021DB" w:rsidRPr="007021DB" w:rsidRDefault="007021DB" w:rsidP="002C5857">
      <w:pPr>
        <w:pStyle w:val="ae"/>
        <w:widowControl w:val="0"/>
        <w:numPr>
          <w:ilvl w:val="0"/>
          <w:numId w:val="2"/>
        </w:numPr>
        <w:bidi/>
        <w:spacing w:after="0" w:line="360" w:lineRule="auto"/>
        <w:ind w:left="1077"/>
        <w:jc w:val="both"/>
        <w:rPr>
          <w:rFonts w:ascii="David" w:hAnsi="David" w:cs="David"/>
          <w:sz w:val="26"/>
          <w:szCs w:val="26"/>
          <w:rtl/>
          <w:lang w:bidi="he-IL"/>
        </w:rPr>
      </w:pPr>
      <w:r w:rsidRPr="007021DB">
        <w:rPr>
          <w:rFonts w:ascii="David" w:hAnsi="David" w:cs="David"/>
          <w:sz w:val="26"/>
          <w:szCs w:val="26"/>
          <w:rtl/>
          <w:lang w:bidi="he-IL"/>
        </w:rPr>
        <w:t xml:space="preserve">בקשר לכך מתאים להביא גם את הציטוט שהובא בסעיף 21 לסיכומי המשיב מתוך פסק הדין </w:t>
      </w:r>
      <w:proofErr w:type="spellStart"/>
      <w:r w:rsidRPr="007021DB">
        <w:rPr>
          <w:rFonts w:ascii="David" w:hAnsi="David" w:cs="David"/>
          <w:sz w:val="26"/>
          <w:szCs w:val="26"/>
          <w:rtl/>
          <w:lang w:bidi="he-IL"/>
        </w:rPr>
        <w:t>בע</w:t>
      </w:r>
      <w:proofErr w:type="spellEnd"/>
      <w:r w:rsidRPr="007021DB">
        <w:rPr>
          <w:rFonts w:ascii="David" w:hAnsi="David" w:cs="David"/>
          <w:sz w:val="26"/>
          <w:szCs w:val="26"/>
          <w:rtl/>
        </w:rPr>
        <w:t>"</w:t>
      </w:r>
      <w:r w:rsidRPr="007021DB">
        <w:rPr>
          <w:rFonts w:ascii="David" w:hAnsi="David" w:cs="David"/>
          <w:sz w:val="26"/>
          <w:szCs w:val="26"/>
          <w:rtl/>
          <w:lang w:bidi="he-IL"/>
        </w:rPr>
        <w:t>מ (מחוזי ת</w:t>
      </w:r>
      <w:r w:rsidR="002C5857">
        <w:rPr>
          <w:rFonts w:ascii="David" w:hAnsi="David" w:cs="David" w:hint="cs"/>
          <w:sz w:val="26"/>
          <w:szCs w:val="26"/>
          <w:rtl/>
          <w:lang w:bidi="he-IL"/>
        </w:rPr>
        <w:t>"א</w:t>
      </w:r>
      <w:r w:rsidRPr="007021DB">
        <w:rPr>
          <w:rFonts w:ascii="David" w:hAnsi="David" w:cs="David"/>
          <w:sz w:val="26"/>
          <w:szCs w:val="26"/>
          <w:rtl/>
          <w:lang w:bidi="he-IL"/>
        </w:rPr>
        <w:t>)</w:t>
      </w:r>
      <w:r w:rsidR="002C5857">
        <w:rPr>
          <w:rFonts w:ascii="David" w:hAnsi="David" w:cs="David" w:hint="cs"/>
          <w:sz w:val="26"/>
          <w:szCs w:val="26"/>
          <w:rtl/>
          <w:lang w:bidi="he-IL"/>
        </w:rPr>
        <w:t xml:space="preserve"> 19898-03-13</w:t>
      </w:r>
      <w:r w:rsidR="002C5857">
        <w:rPr>
          <w:rFonts w:ascii="David" w:hAnsi="David" w:cs="David" w:hint="cs"/>
          <w:b/>
          <w:bCs/>
          <w:sz w:val="26"/>
          <w:szCs w:val="26"/>
          <w:rtl/>
          <w:lang w:bidi="he-IL"/>
        </w:rPr>
        <w:t xml:space="preserve"> </w:t>
      </w:r>
      <w:r w:rsidRPr="007021DB">
        <w:rPr>
          <w:rFonts w:ascii="David" w:hAnsi="David" w:cs="David"/>
          <w:b/>
          <w:bCs/>
          <w:sz w:val="26"/>
          <w:szCs w:val="26"/>
          <w:rtl/>
          <w:lang w:bidi="he-IL"/>
        </w:rPr>
        <w:t>רפי אמית (</w:t>
      </w:r>
      <w:proofErr w:type="spellStart"/>
      <w:r w:rsidRPr="007021DB">
        <w:rPr>
          <w:rFonts w:ascii="David" w:hAnsi="David" w:cs="David"/>
          <w:b/>
          <w:bCs/>
          <w:sz w:val="26"/>
          <w:szCs w:val="26"/>
          <w:rtl/>
          <w:lang w:bidi="he-IL"/>
        </w:rPr>
        <w:t>אמשיקשוילי</w:t>
      </w:r>
      <w:proofErr w:type="spellEnd"/>
      <w:r w:rsidRPr="007021DB">
        <w:rPr>
          <w:rFonts w:ascii="David" w:hAnsi="David" w:cs="David"/>
          <w:b/>
          <w:bCs/>
          <w:sz w:val="26"/>
          <w:szCs w:val="26"/>
          <w:rtl/>
          <w:lang w:bidi="he-IL"/>
        </w:rPr>
        <w:t>) נ' פקיד שומה תל אביב 4</w:t>
      </w:r>
      <w:r w:rsidRPr="007021DB">
        <w:rPr>
          <w:rFonts w:ascii="David" w:hAnsi="David" w:cs="David"/>
          <w:sz w:val="26"/>
          <w:szCs w:val="26"/>
          <w:rtl/>
        </w:rPr>
        <w:t> (15.6.16)</w:t>
      </w:r>
      <w:r w:rsidRPr="007021DB">
        <w:rPr>
          <w:rFonts w:ascii="David" w:hAnsi="David" w:cs="David"/>
          <w:sz w:val="26"/>
          <w:szCs w:val="26"/>
          <w:rtl/>
          <w:lang w:bidi="he-IL"/>
        </w:rPr>
        <w:t>:</w:t>
      </w:r>
    </w:p>
    <w:p w14:paraId="5391F87A" w14:textId="77777777" w:rsidR="007021DB" w:rsidRPr="007021DB" w:rsidRDefault="007021DB" w:rsidP="007021DB">
      <w:pPr>
        <w:pStyle w:val="p00"/>
        <w:bidi/>
        <w:spacing w:before="72" w:beforeAutospacing="0" w:after="0" w:afterAutospacing="0"/>
        <w:ind w:left="1785" w:right="1276"/>
        <w:jc w:val="both"/>
        <w:rPr>
          <w:rStyle w:val="default"/>
          <w:rFonts w:ascii="David" w:hAnsi="David" w:cs="David"/>
          <w:b/>
          <w:bCs/>
          <w:sz w:val="26"/>
          <w:szCs w:val="26"/>
        </w:rPr>
      </w:pPr>
      <w:r w:rsidRPr="007021DB">
        <w:rPr>
          <w:rStyle w:val="default"/>
          <w:rFonts w:ascii="David" w:hAnsi="David" w:cs="David"/>
          <w:b/>
          <w:bCs/>
          <w:sz w:val="26"/>
          <w:szCs w:val="26"/>
          <w:rtl/>
        </w:rPr>
        <w:t xml:space="preserve">".הוראות אלו נוספו לפקודה בשנת 2003 מתוך תפיסה כי אין בכוחו של משטר המס המבוסס על שיטת המקורות לחייב במס זכיות במשחקי מזל ובהגרלות. לפי הגישה הרווחת, זכייה שכולה </w:t>
      </w:r>
      <w:proofErr w:type="spellStart"/>
      <w:r w:rsidRPr="007021DB">
        <w:rPr>
          <w:rStyle w:val="default"/>
          <w:rFonts w:ascii="David" w:hAnsi="David" w:cs="David"/>
          <w:b/>
          <w:bCs/>
          <w:sz w:val="26"/>
          <w:szCs w:val="26"/>
          <w:rtl/>
        </w:rPr>
        <w:t>תלוייה</w:t>
      </w:r>
      <w:proofErr w:type="spellEnd"/>
      <w:r w:rsidRPr="007021DB">
        <w:rPr>
          <w:rStyle w:val="default"/>
          <w:rFonts w:ascii="David" w:hAnsi="David" w:cs="David"/>
          <w:b/>
          <w:bCs/>
          <w:sz w:val="26"/>
          <w:szCs w:val="26"/>
          <w:rtl/>
        </w:rPr>
        <w:t xml:space="preserve"> ביד המקרה נעדרת מקור כי הרי אין היא מייצגת תשואה על נכס או גמול בגין מאמץ. </w:t>
      </w:r>
      <w:r w:rsidRPr="007021DB">
        <w:rPr>
          <w:rStyle w:val="default"/>
          <w:rFonts w:ascii="David" w:hAnsi="David" w:cs="David"/>
          <w:b/>
          <w:bCs/>
          <w:sz w:val="26"/>
          <w:szCs w:val="26"/>
          <w:rtl/>
        </w:rPr>
        <w:lastRenderedPageBreak/>
        <w:t>על מנת להתגבר על קושי עקרוני זה ולהביא את תקבולי ההגרלות וההימורים למיניהם לתוך רשת המס נחקקו סעיפים 2א ו-124ב לפקודה</w:t>
      </w:r>
      <w:r w:rsidRPr="007021DB">
        <w:rPr>
          <w:rStyle w:val="default"/>
          <w:rFonts w:ascii="David" w:hAnsi="David" w:cs="David"/>
          <w:b/>
          <w:bCs/>
          <w:sz w:val="26"/>
          <w:szCs w:val="26"/>
        </w:rPr>
        <w:t>."</w:t>
      </w:r>
    </w:p>
    <w:p w14:paraId="21F63AE9" w14:textId="77777777" w:rsidR="007021DB" w:rsidRPr="007021DB" w:rsidRDefault="007021DB" w:rsidP="007021DB">
      <w:pPr>
        <w:pStyle w:val="p00"/>
        <w:bidi/>
        <w:spacing w:before="72" w:beforeAutospacing="0" w:after="0" w:afterAutospacing="0"/>
        <w:ind w:right="1276"/>
        <w:jc w:val="both"/>
        <w:rPr>
          <w:rStyle w:val="default"/>
          <w:rFonts w:ascii="David" w:hAnsi="David" w:cs="David"/>
          <w:b/>
          <w:bCs/>
          <w:sz w:val="26"/>
          <w:szCs w:val="26"/>
        </w:rPr>
      </w:pPr>
      <w:r w:rsidRPr="007021DB">
        <w:rPr>
          <w:rStyle w:val="default"/>
          <w:rFonts w:ascii="David" w:hAnsi="David" w:cs="David"/>
          <w:b/>
          <w:bCs/>
          <w:sz w:val="26"/>
          <w:szCs w:val="26"/>
          <w:rtl/>
        </w:rPr>
        <w:tab/>
      </w:r>
    </w:p>
    <w:p w14:paraId="7E3EC745" w14:textId="77777777" w:rsidR="007021DB" w:rsidRPr="007021DB" w:rsidRDefault="007021DB" w:rsidP="007021DB">
      <w:pPr>
        <w:pStyle w:val="ae"/>
        <w:rPr>
          <w:rFonts w:ascii="David" w:hAnsi="David" w:cs="David"/>
          <w:sz w:val="26"/>
          <w:szCs w:val="26"/>
          <w:rtl/>
          <w:lang w:bidi="he-IL"/>
        </w:rPr>
      </w:pPr>
    </w:p>
    <w:p w14:paraId="496F9EF9" w14:textId="77777777" w:rsidR="007021DB" w:rsidRPr="007021DB" w:rsidRDefault="007021DB" w:rsidP="002C5857">
      <w:pPr>
        <w:pStyle w:val="ae"/>
        <w:widowControl w:val="0"/>
        <w:bidi/>
        <w:spacing w:after="360" w:line="360" w:lineRule="auto"/>
        <w:ind w:left="1080"/>
        <w:jc w:val="both"/>
        <w:rPr>
          <w:rFonts w:ascii="David" w:hAnsi="David" w:cs="David"/>
          <w:sz w:val="26"/>
          <w:szCs w:val="26"/>
          <w:rtl/>
          <w:lang w:bidi="he-IL"/>
        </w:rPr>
      </w:pPr>
      <w:r w:rsidRPr="007021DB">
        <w:rPr>
          <w:rFonts w:ascii="David" w:hAnsi="David" w:cs="David"/>
          <w:sz w:val="26"/>
          <w:szCs w:val="26"/>
          <w:rtl/>
          <w:lang w:bidi="he-IL"/>
        </w:rPr>
        <w:t xml:space="preserve">וראו בקשר לכך גם את פסיקת </w:t>
      </w:r>
      <w:r w:rsidR="002C5857">
        <w:rPr>
          <w:rFonts w:ascii="David" w:hAnsi="David" w:cs="David" w:hint="cs"/>
          <w:sz w:val="26"/>
          <w:szCs w:val="26"/>
          <w:rtl/>
          <w:lang w:bidi="he-IL"/>
        </w:rPr>
        <w:t>בית המשפט</w:t>
      </w:r>
      <w:r w:rsidRPr="007021DB">
        <w:rPr>
          <w:rFonts w:ascii="David" w:hAnsi="David" w:cs="David"/>
          <w:sz w:val="26"/>
          <w:szCs w:val="26"/>
          <w:rtl/>
          <w:lang w:bidi="he-IL"/>
        </w:rPr>
        <w:t xml:space="preserve"> העליון בערעור על פסק דין זה במסגרת ע"א 476/17 </w:t>
      </w:r>
      <w:r w:rsidRPr="007021DB">
        <w:rPr>
          <w:rFonts w:ascii="David" w:hAnsi="David" w:cs="David"/>
          <w:b/>
          <w:bCs/>
          <w:sz w:val="26"/>
          <w:szCs w:val="26"/>
          <w:rtl/>
          <w:lang w:bidi="he-IL"/>
        </w:rPr>
        <w:t>רפי אמית (</w:t>
      </w:r>
      <w:proofErr w:type="spellStart"/>
      <w:r w:rsidRPr="007021DB">
        <w:rPr>
          <w:rFonts w:ascii="David" w:hAnsi="David" w:cs="David"/>
          <w:b/>
          <w:bCs/>
          <w:sz w:val="26"/>
          <w:szCs w:val="26"/>
          <w:rtl/>
          <w:lang w:bidi="he-IL"/>
        </w:rPr>
        <w:t>אמשיקשוילי</w:t>
      </w:r>
      <w:proofErr w:type="spellEnd"/>
      <w:r w:rsidRPr="007021DB">
        <w:rPr>
          <w:rFonts w:ascii="David" w:hAnsi="David" w:cs="David"/>
          <w:b/>
          <w:bCs/>
          <w:sz w:val="26"/>
          <w:szCs w:val="26"/>
          <w:rtl/>
          <w:lang w:bidi="he-IL"/>
        </w:rPr>
        <w:t>)</w:t>
      </w:r>
      <w:r w:rsidRPr="007021DB">
        <w:rPr>
          <w:rFonts w:ascii="David" w:hAnsi="David" w:cs="David"/>
          <w:b/>
          <w:bCs/>
          <w:sz w:val="26"/>
          <w:szCs w:val="26"/>
          <w:rtl/>
        </w:rPr>
        <w:t xml:space="preserve"> </w:t>
      </w:r>
      <w:r w:rsidRPr="007021DB">
        <w:rPr>
          <w:rFonts w:ascii="David" w:hAnsi="David" w:cs="David"/>
          <w:b/>
          <w:bCs/>
          <w:sz w:val="26"/>
          <w:szCs w:val="26"/>
          <w:rtl/>
          <w:lang w:bidi="he-IL"/>
        </w:rPr>
        <w:t>נ' פקיד שומה תל אביב 4</w:t>
      </w:r>
      <w:r w:rsidRPr="007021DB">
        <w:rPr>
          <w:rFonts w:ascii="David" w:hAnsi="David" w:cs="David"/>
          <w:sz w:val="26"/>
          <w:szCs w:val="26"/>
          <w:rtl/>
        </w:rPr>
        <w:t> (</w:t>
      </w:r>
      <w:r w:rsidRPr="007021DB">
        <w:rPr>
          <w:rFonts w:ascii="David" w:hAnsi="David" w:cs="David"/>
          <w:sz w:val="26"/>
          <w:szCs w:val="26"/>
          <w:rtl/>
          <w:lang w:bidi="he-IL"/>
        </w:rPr>
        <w:t>9.10.18</w:t>
      </w:r>
      <w:r w:rsidRPr="007021DB">
        <w:rPr>
          <w:rFonts w:ascii="David" w:hAnsi="David" w:cs="David"/>
          <w:sz w:val="26"/>
          <w:szCs w:val="26"/>
          <w:rtl/>
        </w:rPr>
        <w:t>)</w:t>
      </w:r>
      <w:r w:rsidRPr="007021DB">
        <w:rPr>
          <w:rFonts w:ascii="David" w:hAnsi="David" w:cs="David"/>
          <w:sz w:val="26"/>
          <w:szCs w:val="26"/>
          <w:rtl/>
          <w:lang w:bidi="he-IL"/>
        </w:rPr>
        <w:t>.</w:t>
      </w:r>
    </w:p>
    <w:p w14:paraId="5A328881" w14:textId="77777777" w:rsidR="007021DB" w:rsidRPr="007021DB" w:rsidRDefault="007021DB" w:rsidP="007021DB">
      <w:pPr>
        <w:pStyle w:val="ae"/>
        <w:widowControl w:val="0"/>
        <w:bidi/>
        <w:spacing w:after="360" w:line="360" w:lineRule="auto"/>
        <w:ind w:left="1080"/>
        <w:jc w:val="both"/>
        <w:rPr>
          <w:rFonts w:ascii="David" w:hAnsi="David" w:cs="David"/>
          <w:sz w:val="26"/>
          <w:szCs w:val="26"/>
          <w:rtl/>
          <w:lang w:bidi="he-IL"/>
        </w:rPr>
      </w:pPr>
    </w:p>
    <w:p w14:paraId="5FAB92BB" w14:textId="77777777" w:rsidR="007021DB" w:rsidRPr="007021DB" w:rsidRDefault="007021DB" w:rsidP="002C5857">
      <w:pPr>
        <w:pStyle w:val="ae"/>
        <w:widowControl w:val="0"/>
        <w:numPr>
          <w:ilvl w:val="0"/>
          <w:numId w:val="2"/>
        </w:numPr>
        <w:bidi/>
        <w:spacing w:after="360" w:line="360" w:lineRule="auto"/>
        <w:jc w:val="both"/>
        <w:rPr>
          <w:rFonts w:ascii="David" w:hAnsi="David" w:cs="David"/>
          <w:sz w:val="26"/>
          <w:szCs w:val="26"/>
          <w:rtl/>
          <w:lang w:bidi="he-IL"/>
        </w:rPr>
      </w:pPr>
      <w:r w:rsidRPr="007021DB">
        <w:rPr>
          <w:rFonts w:ascii="David" w:hAnsi="David" w:cs="David"/>
          <w:sz w:val="26"/>
          <w:szCs w:val="26"/>
          <w:rtl/>
          <w:lang w:bidi="he-IL"/>
        </w:rPr>
        <w:t>מדברי ההסבר הנ"ל עולה כי תכלית החקיקה היא הרחבת בסיס המס ולכן, אין מקום לקבל את גישת המערער המבקשת לצמצם את הטלת המס במקרים הרלוונט</w:t>
      </w:r>
      <w:r w:rsidR="001548BD">
        <w:rPr>
          <w:rFonts w:ascii="David" w:hAnsi="David" w:cs="David" w:hint="cs"/>
          <w:sz w:val="26"/>
          <w:szCs w:val="26"/>
          <w:rtl/>
          <w:lang w:bidi="he-IL"/>
        </w:rPr>
        <w:t>י</w:t>
      </w:r>
      <w:r w:rsidRPr="007021DB">
        <w:rPr>
          <w:rFonts w:ascii="David" w:hAnsi="David" w:cs="David"/>
          <w:sz w:val="26"/>
          <w:szCs w:val="26"/>
          <w:rtl/>
          <w:lang w:bidi="he-IL"/>
        </w:rPr>
        <w:t>ים. ככל שהמחוקק היה מעוניין בצמצום המס הי</w:t>
      </w:r>
      <w:r w:rsidR="002C5857">
        <w:rPr>
          <w:rFonts w:ascii="David" w:hAnsi="David" w:cs="David"/>
          <w:sz w:val="26"/>
          <w:szCs w:val="26"/>
          <w:rtl/>
          <w:lang w:bidi="he-IL"/>
        </w:rPr>
        <w:t>ה מאפשר לעשות כן במקרים מסוימים</w:t>
      </w:r>
      <w:r w:rsidR="002C5857">
        <w:rPr>
          <w:rFonts w:ascii="David" w:hAnsi="David" w:cs="David" w:hint="cs"/>
          <w:sz w:val="26"/>
          <w:szCs w:val="26"/>
          <w:rtl/>
          <w:lang w:bidi="he-IL"/>
        </w:rPr>
        <w:t>,</w:t>
      </w:r>
      <w:r w:rsidRPr="007021DB">
        <w:rPr>
          <w:rFonts w:ascii="David" w:hAnsi="David" w:cs="David"/>
          <w:sz w:val="26"/>
          <w:szCs w:val="26"/>
          <w:rtl/>
          <w:lang w:bidi="he-IL"/>
        </w:rPr>
        <w:t xml:space="preserve"> אלא שטענות המערער, כפי שהובאו בערעור דנן, אינן מצדיקות גישה מצמצמת של הטלת המס שבהתאם לסעיף 2ב לפקודה (וראו בקשר לכך: ע"מ (מחוזי ת</w:t>
      </w:r>
      <w:r w:rsidR="002C5857">
        <w:rPr>
          <w:rFonts w:ascii="David" w:hAnsi="David" w:cs="David" w:hint="cs"/>
          <w:sz w:val="26"/>
          <w:szCs w:val="26"/>
          <w:rtl/>
          <w:lang w:bidi="he-IL"/>
        </w:rPr>
        <w:t>"א</w:t>
      </w:r>
      <w:r w:rsidRPr="007021DB">
        <w:rPr>
          <w:rFonts w:ascii="David" w:hAnsi="David" w:cs="David"/>
          <w:sz w:val="26"/>
          <w:szCs w:val="26"/>
          <w:rtl/>
          <w:lang w:bidi="he-IL"/>
        </w:rPr>
        <w:t>)</w:t>
      </w:r>
      <w:r w:rsidR="00875259">
        <w:rPr>
          <w:rFonts w:ascii="David" w:hAnsi="David" w:cs="David" w:hint="cs"/>
          <w:sz w:val="26"/>
          <w:szCs w:val="26"/>
          <w:rtl/>
          <w:lang w:bidi="he-IL"/>
        </w:rPr>
        <w:t xml:space="preserve"> </w:t>
      </w:r>
      <w:r w:rsidRPr="007021DB">
        <w:rPr>
          <w:rFonts w:ascii="David" w:hAnsi="David" w:cs="David"/>
          <w:sz w:val="26"/>
          <w:szCs w:val="26"/>
          <w:rtl/>
          <w:lang w:bidi="he-IL"/>
        </w:rPr>
        <w:t xml:space="preserve">47738-01-15 </w:t>
      </w:r>
      <w:r w:rsidRPr="007021DB">
        <w:rPr>
          <w:rFonts w:ascii="David" w:hAnsi="David" w:cs="David"/>
          <w:b/>
          <w:bCs/>
          <w:sz w:val="26"/>
          <w:szCs w:val="26"/>
          <w:rtl/>
          <w:lang w:bidi="he-IL"/>
        </w:rPr>
        <w:t>פלוני נ' פקיד שומה תל אביב 1</w:t>
      </w:r>
      <w:r w:rsidRPr="007021DB">
        <w:rPr>
          <w:rFonts w:ascii="David" w:hAnsi="David" w:cs="David"/>
          <w:sz w:val="26"/>
          <w:szCs w:val="26"/>
          <w:rtl/>
          <w:lang w:bidi="he-IL"/>
        </w:rPr>
        <w:t xml:space="preserve"> (12.6.17).</w:t>
      </w:r>
    </w:p>
    <w:p w14:paraId="5428EFEA"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4188D7FF" w14:textId="77777777" w:rsidR="007021DB" w:rsidRPr="007021DB" w:rsidRDefault="007021DB" w:rsidP="002C5857">
      <w:pPr>
        <w:pStyle w:val="ae"/>
        <w:widowControl w:val="0"/>
        <w:numPr>
          <w:ilvl w:val="0"/>
          <w:numId w:val="2"/>
        </w:numPr>
        <w:bidi/>
        <w:spacing w:after="0" w:line="360" w:lineRule="auto"/>
        <w:ind w:left="1077"/>
        <w:jc w:val="both"/>
        <w:rPr>
          <w:rFonts w:ascii="David" w:hAnsi="David" w:cs="David"/>
          <w:sz w:val="26"/>
          <w:szCs w:val="26"/>
          <w:lang w:bidi="he-IL"/>
        </w:rPr>
      </w:pPr>
      <w:r w:rsidRPr="007021DB">
        <w:rPr>
          <w:rFonts w:ascii="David" w:hAnsi="David" w:cs="David"/>
          <w:sz w:val="26"/>
          <w:szCs w:val="26"/>
          <w:rtl/>
          <w:lang w:bidi="he-IL"/>
        </w:rPr>
        <w:t xml:space="preserve">יש לדחות גם את טענת המערער כי מדובר ברווח הוני וכי כרטיס ההגרלה הינו "נכס". כאמור, מדובר בהסדר חקיקה ייחודי וספציפי בנוגע למיסוי הגרלות </w:t>
      </w:r>
      <w:r w:rsidR="002C5857">
        <w:rPr>
          <w:rFonts w:ascii="David" w:hAnsi="David" w:cs="David" w:hint="cs"/>
          <w:sz w:val="26"/>
          <w:szCs w:val="26"/>
          <w:rtl/>
          <w:lang w:bidi="he-IL"/>
        </w:rPr>
        <w:t>ו</w:t>
      </w:r>
      <w:r w:rsidRPr="007021DB">
        <w:rPr>
          <w:rFonts w:ascii="David" w:hAnsi="David" w:cs="David"/>
          <w:sz w:val="26"/>
          <w:szCs w:val="26"/>
          <w:rtl/>
          <w:lang w:bidi="he-IL"/>
        </w:rPr>
        <w:t>ההסדר הספציפי גובר</w:t>
      </w:r>
      <w:r w:rsidR="002C5857">
        <w:rPr>
          <w:rFonts w:ascii="David" w:hAnsi="David" w:cs="David" w:hint="cs"/>
          <w:sz w:val="26"/>
          <w:szCs w:val="26"/>
          <w:rtl/>
          <w:lang w:bidi="he-IL"/>
        </w:rPr>
        <w:t xml:space="preserve"> על ההוראות בנוגע למיסוי רווח הון</w:t>
      </w:r>
      <w:r w:rsidRPr="007021DB">
        <w:rPr>
          <w:rFonts w:ascii="David" w:hAnsi="David" w:cs="David"/>
          <w:sz w:val="26"/>
          <w:szCs w:val="26"/>
          <w:rtl/>
          <w:lang w:bidi="he-IL"/>
        </w:rPr>
        <w:t>. בקשר לכך מתאים להביא את דבריו של בית המשפט העליון בבר</w:t>
      </w:r>
      <w:r w:rsidRPr="007021DB">
        <w:rPr>
          <w:rFonts w:ascii="David" w:hAnsi="David" w:cs="David"/>
          <w:sz w:val="26"/>
          <w:szCs w:val="26"/>
          <w:rtl/>
        </w:rPr>
        <w:t>"</w:t>
      </w:r>
      <w:r w:rsidRPr="007021DB">
        <w:rPr>
          <w:rFonts w:ascii="David" w:hAnsi="David" w:cs="David"/>
          <w:sz w:val="26"/>
          <w:szCs w:val="26"/>
          <w:rtl/>
          <w:lang w:bidi="he-IL"/>
        </w:rPr>
        <w:t>מ</w:t>
      </w:r>
      <w:r w:rsidRPr="007021DB">
        <w:rPr>
          <w:rFonts w:ascii="David" w:hAnsi="David" w:cs="David"/>
          <w:sz w:val="26"/>
          <w:szCs w:val="26"/>
          <w:rtl/>
        </w:rPr>
        <w:t xml:space="preserve"> 7696/16 </w:t>
      </w:r>
      <w:proofErr w:type="spellStart"/>
      <w:r w:rsidRPr="007021DB">
        <w:rPr>
          <w:rFonts w:ascii="David" w:hAnsi="David" w:cs="David"/>
          <w:b/>
          <w:bCs/>
          <w:sz w:val="26"/>
          <w:szCs w:val="26"/>
          <w:rtl/>
          <w:lang w:bidi="he-IL"/>
        </w:rPr>
        <w:t>טומגזי</w:t>
      </w:r>
      <w:proofErr w:type="spellEnd"/>
      <w:r w:rsidRPr="007021DB">
        <w:rPr>
          <w:rFonts w:ascii="David" w:hAnsi="David" w:cs="David"/>
          <w:b/>
          <w:bCs/>
          <w:sz w:val="26"/>
          <w:szCs w:val="26"/>
          <w:rtl/>
          <w:lang w:bidi="he-IL"/>
        </w:rPr>
        <w:t xml:space="preserve"> </w:t>
      </w:r>
      <w:proofErr w:type="spellStart"/>
      <w:r w:rsidRPr="007021DB">
        <w:rPr>
          <w:rFonts w:ascii="David" w:hAnsi="David" w:cs="David"/>
          <w:b/>
          <w:bCs/>
          <w:sz w:val="26"/>
          <w:szCs w:val="26"/>
          <w:rtl/>
          <w:lang w:bidi="he-IL"/>
        </w:rPr>
        <w:t>אריא</w:t>
      </w:r>
      <w:proofErr w:type="spellEnd"/>
      <w:r w:rsidRPr="007021DB">
        <w:rPr>
          <w:rFonts w:ascii="David" w:hAnsi="David" w:cs="David"/>
          <w:b/>
          <w:bCs/>
          <w:sz w:val="26"/>
          <w:szCs w:val="26"/>
          <w:rtl/>
          <w:lang w:bidi="he-IL"/>
        </w:rPr>
        <w:t xml:space="preserve"> נ' משרד הפנים - רשות האוכלוסין וההגירה</w:t>
      </w:r>
      <w:r w:rsidRPr="007021DB">
        <w:rPr>
          <w:rFonts w:ascii="David" w:hAnsi="David" w:cs="David"/>
          <w:b/>
          <w:bCs/>
          <w:sz w:val="26"/>
          <w:szCs w:val="26"/>
          <w:rtl/>
        </w:rPr>
        <w:t> </w:t>
      </w:r>
      <w:r w:rsidRPr="007021DB">
        <w:rPr>
          <w:rFonts w:ascii="David" w:hAnsi="David" w:cs="David"/>
          <w:sz w:val="26"/>
          <w:szCs w:val="26"/>
          <w:rtl/>
          <w:lang w:bidi="he-IL"/>
        </w:rPr>
        <w:t>(</w:t>
      </w:r>
      <w:r w:rsidRPr="007021DB">
        <w:rPr>
          <w:rFonts w:ascii="David" w:hAnsi="David" w:cs="David"/>
          <w:sz w:val="26"/>
          <w:szCs w:val="26"/>
          <w:rtl/>
        </w:rPr>
        <w:t>04.01.17)</w:t>
      </w:r>
      <w:r w:rsidRPr="007021DB">
        <w:rPr>
          <w:rFonts w:ascii="David" w:hAnsi="David" w:cs="David"/>
          <w:sz w:val="26"/>
          <w:szCs w:val="26"/>
          <w:rtl/>
          <w:lang w:bidi="he-IL"/>
        </w:rPr>
        <w:t>:</w:t>
      </w:r>
    </w:p>
    <w:p w14:paraId="39D3325F" w14:textId="77777777" w:rsidR="007021DB" w:rsidRPr="007021DB" w:rsidRDefault="007021DB" w:rsidP="007021DB">
      <w:pPr>
        <w:pStyle w:val="p00"/>
        <w:bidi/>
        <w:spacing w:before="72" w:beforeAutospacing="0" w:after="0" w:afterAutospacing="0" w:line="360" w:lineRule="auto"/>
        <w:ind w:left="1785" w:right="1276"/>
        <w:jc w:val="both"/>
        <w:rPr>
          <w:rStyle w:val="default"/>
          <w:rFonts w:ascii="David" w:hAnsi="David" w:cs="David"/>
          <w:b/>
          <w:bCs/>
          <w:sz w:val="26"/>
          <w:szCs w:val="26"/>
        </w:rPr>
      </w:pPr>
      <w:r w:rsidRPr="007021DB">
        <w:rPr>
          <w:rStyle w:val="default"/>
          <w:rFonts w:ascii="David" w:hAnsi="David" w:cs="David"/>
          <w:b/>
          <w:bCs/>
          <w:sz w:val="26"/>
          <w:szCs w:val="26"/>
          <w:rtl/>
        </w:rPr>
        <w:t xml:space="preserve">"כידוע, כאשר מתעוררת שאלה של התאמה ו"סינכרון" בין הסדרים חקיקתיים – האחד כללי והאחר ספציפי – הרי שההסדר הספציפי גובר על זה הכללי (ראו למשל: ד"נ 36/84 </w:t>
      </w:r>
      <w:proofErr w:type="spellStart"/>
      <w:r w:rsidRPr="007021DB">
        <w:rPr>
          <w:rStyle w:val="default"/>
          <w:rFonts w:ascii="David" w:hAnsi="David" w:cs="David"/>
          <w:b/>
          <w:bCs/>
          <w:sz w:val="26"/>
          <w:szCs w:val="26"/>
          <w:rtl/>
        </w:rPr>
        <w:t>טייכנר</w:t>
      </w:r>
      <w:proofErr w:type="spellEnd"/>
      <w:r w:rsidRPr="007021DB">
        <w:rPr>
          <w:rStyle w:val="default"/>
          <w:rFonts w:ascii="David" w:hAnsi="David" w:cs="David"/>
          <w:b/>
          <w:bCs/>
          <w:sz w:val="26"/>
          <w:szCs w:val="26"/>
          <w:rtl/>
        </w:rPr>
        <w:t xml:space="preserve"> נ' איר-פרנס נתיבי אוויר צרפתיים, פ"ד </w:t>
      </w:r>
      <w:proofErr w:type="spellStart"/>
      <w:r w:rsidRPr="007021DB">
        <w:rPr>
          <w:rStyle w:val="default"/>
          <w:rFonts w:ascii="David" w:hAnsi="David" w:cs="David"/>
          <w:b/>
          <w:bCs/>
          <w:sz w:val="26"/>
          <w:szCs w:val="26"/>
          <w:rtl/>
        </w:rPr>
        <w:t>מא</w:t>
      </w:r>
      <w:proofErr w:type="spellEnd"/>
      <w:r w:rsidRPr="007021DB">
        <w:rPr>
          <w:rStyle w:val="default"/>
          <w:rFonts w:ascii="David" w:hAnsi="David" w:cs="David"/>
          <w:b/>
          <w:bCs/>
          <w:sz w:val="26"/>
          <w:szCs w:val="26"/>
          <w:rtl/>
        </w:rPr>
        <w:t xml:space="preserve">(1) 589, 599 (1987); ע"פ 3417/99 הר-שפי נ' מדינת ישראל, פ"ד </w:t>
      </w:r>
      <w:proofErr w:type="spellStart"/>
      <w:r w:rsidRPr="007021DB">
        <w:rPr>
          <w:rStyle w:val="default"/>
          <w:rFonts w:ascii="David" w:hAnsi="David" w:cs="David"/>
          <w:b/>
          <w:bCs/>
          <w:sz w:val="26"/>
          <w:szCs w:val="26"/>
          <w:rtl/>
        </w:rPr>
        <w:t>נה</w:t>
      </w:r>
      <w:proofErr w:type="spellEnd"/>
      <w:r w:rsidRPr="007021DB">
        <w:rPr>
          <w:rStyle w:val="default"/>
          <w:rFonts w:ascii="David" w:hAnsi="David" w:cs="David"/>
          <w:b/>
          <w:bCs/>
          <w:sz w:val="26"/>
          <w:szCs w:val="26"/>
          <w:rtl/>
        </w:rPr>
        <w:t xml:space="preserve">(2) 735, 766 (2001); ע"פ 2947/00 מאיר נ' מדינת ישראל, פ"ד נו(4) 636, 645 (2002); בג"ץ 3037/14 אבו ספא נ' משרד הפנים והמנהל האזרחי, [פורסם בנבו] פסקה 11 (7.6.2015) (להלן: עניין אבו ספא)). על כך ניתן להוסיף כי בית משפט זה כבר ציין כי אף במקרים שבהם חלות על עניין שתי סמכויות "מקבילות" שאינן מבטלות או </w:t>
      </w:r>
      <w:r w:rsidRPr="007021DB">
        <w:rPr>
          <w:rStyle w:val="default"/>
          <w:rFonts w:ascii="David" w:hAnsi="David" w:cs="David"/>
          <w:b/>
          <w:bCs/>
          <w:sz w:val="26"/>
          <w:szCs w:val="26"/>
          <w:rtl/>
        </w:rPr>
        <w:lastRenderedPageBreak/>
        <w:t xml:space="preserve">דוחות זו את זו (ראו: סעיף 19 לחוק הפרשנות, התשמ"א-1981; יצחק זמיר הסמכות </w:t>
      </w:r>
      <w:proofErr w:type="spellStart"/>
      <w:r w:rsidRPr="007021DB">
        <w:rPr>
          <w:rStyle w:val="default"/>
          <w:rFonts w:ascii="David" w:hAnsi="David" w:cs="David"/>
          <w:b/>
          <w:bCs/>
          <w:sz w:val="26"/>
          <w:szCs w:val="26"/>
          <w:rtl/>
        </w:rPr>
        <w:t>המינהלית</w:t>
      </w:r>
      <w:proofErr w:type="spellEnd"/>
      <w:r w:rsidRPr="007021DB">
        <w:rPr>
          <w:rStyle w:val="default"/>
          <w:rFonts w:ascii="David" w:hAnsi="David" w:cs="David"/>
          <w:b/>
          <w:bCs/>
          <w:sz w:val="26"/>
          <w:szCs w:val="26"/>
          <w:rtl/>
        </w:rPr>
        <w:t xml:space="preserve"> כרך א 234 (מהדורה שניה, 2010)), רצוי שהרשות תשתמש בדין "שנושאו קרוב יותר לאותו השטח" (בג"ץ 261/63 </w:t>
      </w:r>
      <w:proofErr w:type="spellStart"/>
      <w:r w:rsidRPr="007021DB">
        <w:rPr>
          <w:rStyle w:val="default"/>
          <w:rFonts w:ascii="David" w:hAnsi="David" w:cs="David"/>
          <w:b/>
          <w:bCs/>
          <w:sz w:val="26"/>
          <w:szCs w:val="26"/>
          <w:rtl/>
        </w:rPr>
        <w:t>מגידוביץ</w:t>
      </w:r>
      <w:proofErr w:type="spellEnd"/>
      <w:r w:rsidRPr="007021DB">
        <w:rPr>
          <w:rStyle w:val="default"/>
          <w:rFonts w:ascii="David" w:hAnsi="David" w:cs="David"/>
          <w:b/>
          <w:bCs/>
          <w:sz w:val="26"/>
          <w:szCs w:val="26"/>
          <w:rtl/>
        </w:rPr>
        <w:t xml:space="preserve"> נ' הועדה המחוזית, פ"ד </w:t>
      </w:r>
      <w:proofErr w:type="spellStart"/>
      <w:r w:rsidRPr="007021DB">
        <w:rPr>
          <w:rStyle w:val="default"/>
          <w:rFonts w:ascii="David" w:hAnsi="David" w:cs="David"/>
          <w:b/>
          <w:bCs/>
          <w:sz w:val="26"/>
          <w:szCs w:val="26"/>
          <w:rtl/>
        </w:rPr>
        <w:t>יח</w:t>
      </w:r>
      <w:proofErr w:type="spellEnd"/>
      <w:r w:rsidRPr="007021DB">
        <w:rPr>
          <w:rStyle w:val="default"/>
          <w:rFonts w:ascii="David" w:hAnsi="David" w:cs="David"/>
          <w:b/>
          <w:bCs/>
          <w:sz w:val="26"/>
          <w:szCs w:val="26"/>
          <w:rtl/>
        </w:rPr>
        <w:t xml:space="preserve">(2) 289, 293 (1964). ראו גם: בג"ץ 879/79 </w:t>
      </w:r>
      <w:proofErr w:type="spellStart"/>
      <w:r w:rsidRPr="007021DB">
        <w:rPr>
          <w:rStyle w:val="default"/>
          <w:rFonts w:ascii="David" w:hAnsi="David" w:cs="David"/>
          <w:b/>
          <w:bCs/>
          <w:sz w:val="26"/>
          <w:szCs w:val="26"/>
          <w:rtl/>
        </w:rPr>
        <w:t>אפא"י</w:t>
      </w:r>
      <w:proofErr w:type="spellEnd"/>
      <w:r w:rsidRPr="007021DB">
        <w:rPr>
          <w:rStyle w:val="default"/>
          <w:rFonts w:ascii="David" w:hAnsi="David" w:cs="David"/>
          <w:b/>
          <w:bCs/>
          <w:sz w:val="26"/>
          <w:szCs w:val="26"/>
          <w:rtl/>
        </w:rPr>
        <w:t xml:space="preserve"> אגודה שיתופית לפירות א"י בע"מ נ' שר התעשייה, המסחר והתיירות, פ"ד לד(2) 449 (1980); בג"ץ 256/88 </w:t>
      </w:r>
      <w:proofErr w:type="spellStart"/>
      <w:r w:rsidRPr="007021DB">
        <w:rPr>
          <w:rStyle w:val="default"/>
          <w:rFonts w:ascii="David" w:hAnsi="David" w:cs="David"/>
          <w:b/>
          <w:bCs/>
          <w:sz w:val="26"/>
          <w:szCs w:val="26"/>
          <w:rtl/>
        </w:rPr>
        <w:t>מדאינווסט</w:t>
      </w:r>
      <w:proofErr w:type="spellEnd"/>
      <w:r w:rsidRPr="007021DB">
        <w:rPr>
          <w:rStyle w:val="default"/>
          <w:rFonts w:ascii="David" w:hAnsi="David" w:cs="David"/>
          <w:b/>
          <w:bCs/>
          <w:sz w:val="26"/>
          <w:szCs w:val="26"/>
          <w:rtl/>
        </w:rPr>
        <w:t xml:space="preserve"> מרכז רפואי הרצליה בע"מ נ' מנכ"ל משרד הבריאות, פ"ד מד(1) 19, 40-37 (1989); עניין אבו ספא, בפסקה 13). עמדה זו מבטאת במידה רבה גם גישה של הרמוניה חקיקתית (ראו והשוו: בג"ץ 953/87 פורז נ' ראש עיריית תל-אביב-יפו, פ"ד </w:t>
      </w:r>
      <w:proofErr w:type="spellStart"/>
      <w:r w:rsidRPr="007021DB">
        <w:rPr>
          <w:rStyle w:val="default"/>
          <w:rFonts w:ascii="David" w:hAnsi="David" w:cs="David"/>
          <w:b/>
          <w:bCs/>
          <w:sz w:val="26"/>
          <w:szCs w:val="26"/>
          <w:rtl/>
        </w:rPr>
        <w:t>מב</w:t>
      </w:r>
      <w:proofErr w:type="spellEnd"/>
      <w:r w:rsidRPr="007021DB">
        <w:rPr>
          <w:rStyle w:val="default"/>
          <w:rFonts w:ascii="David" w:hAnsi="David" w:cs="David"/>
          <w:b/>
          <w:bCs/>
          <w:sz w:val="26"/>
          <w:szCs w:val="26"/>
          <w:rtl/>
        </w:rPr>
        <w:t>(2) 309, 329-328, 334</w:t>
      </w:r>
      <w:r w:rsidRPr="007021DB">
        <w:rPr>
          <w:rStyle w:val="default"/>
          <w:rFonts w:ascii="David" w:hAnsi="David" w:cs="David"/>
          <w:b/>
          <w:bCs/>
          <w:sz w:val="26"/>
          <w:szCs w:val="26"/>
          <w:lang w:bidi="ar-SA"/>
        </w:rPr>
        <w:t xml:space="preserve"> (1988)</w:t>
      </w:r>
      <w:r w:rsidRPr="007021DB">
        <w:rPr>
          <w:rStyle w:val="default"/>
          <w:rFonts w:ascii="David" w:hAnsi="David" w:cs="David"/>
          <w:b/>
          <w:bCs/>
          <w:sz w:val="26"/>
          <w:szCs w:val="26"/>
          <w:rtl/>
        </w:rPr>
        <w:t>)</w:t>
      </w:r>
      <w:r w:rsidRPr="007021DB">
        <w:rPr>
          <w:rStyle w:val="default"/>
          <w:rFonts w:ascii="David" w:hAnsi="David" w:cs="David"/>
          <w:b/>
          <w:bCs/>
          <w:sz w:val="26"/>
          <w:szCs w:val="26"/>
          <w:lang w:bidi="ar-SA"/>
        </w:rPr>
        <w:t>."</w:t>
      </w:r>
    </w:p>
    <w:p w14:paraId="76402D17" w14:textId="77777777" w:rsidR="007021DB" w:rsidRPr="007021DB" w:rsidRDefault="007021DB" w:rsidP="007021DB">
      <w:pPr>
        <w:pStyle w:val="p00"/>
        <w:bidi/>
        <w:spacing w:before="72" w:beforeAutospacing="0" w:after="0" w:afterAutospacing="0" w:line="360" w:lineRule="auto"/>
        <w:ind w:left="1785" w:right="1276"/>
        <w:jc w:val="both"/>
        <w:rPr>
          <w:rStyle w:val="default"/>
          <w:rFonts w:ascii="David" w:hAnsi="David" w:cs="David"/>
          <w:b/>
          <w:bCs/>
          <w:sz w:val="26"/>
          <w:szCs w:val="26"/>
          <w:rtl/>
        </w:rPr>
      </w:pPr>
    </w:p>
    <w:p w14:paraId="170ECF9B" w14:textId="77777777" w:rsidR="007021DB" w:rsidRPr="007021DB" w:rsidRDefault="007021DB" w:rsidP="001548BD">
      <w:pPr>
        <w:pStyle w:val="ae"/>
        <w:widowControl w:val="0"/>
        <w:numPr>
          <w:ilvl w:val="0"/>
          <w:numId w:val="2"/>
        </w:numPr>
        <w:bidi/>
        <w:spacing w:after="360" w:line="360" w:lineRule="auto"/>
        <w:jc w:val="both"/>
        <w:rPr>
          <w:rFonts w:ascii="David" w:hAnsi="David" w:cs="David"/>
          <w:sz w:val="26"/>
          <w:szCs w:val="26"/>
          <w:rtl/>
          <w:lang w:bidi="he-IL"/>
        </w:rPr>
      </w:pPr>
      <w:r w:rsidRPr="007021DB">
        <w:rPr>
          <w:rFonts w:ascii="David" w:hAnsi="David" w:cs="David"/>
          <w:sz w:val="26"/>
          <w:szCs w:val="26"/>
          <w:rtl/>
          <w:lang w:bidi="he-IL"/>
        </w:rPr>
        <w:t>בהמשך לאמור, אני קובע כי המערער השתתף במשחק הטוטו כמהמר וכי החזקת הכרטיס מהווה אישור להשתתפותו במשחק ואין מדובר בנכס או במכירה כהגדרתם בסעיף 88 לפקודה.</w:t>
      </w:r>
    </w:p>
    <w:p w14:paraId="2E3F37B7" w14:textId="77777777" w:rsidR="007021DB" w:rsidRPr="007021DB" w:rsidRDefault="007021DB" w:rsidP="007021DB">
      <w:pPr>
        <w:pStyle w:val="ae"/>
        <w:widowControl w:val="0"/>
        <w:bidi/>
        <w:spacing w:after="360" w:line="360" w:lineRule="auto"/>
        <w:ind w:left="1080"/>
        <w:jc w:val="both"/>
        <w:rPr>
          <w:rFonts w:ascii="David" w:hAnsi="David" w:cs="David"/>
          <w:sz w:val="26"/>
          <w:szCs w:val="26"/>
          <w:lang w:bidi="he-IL"/>
        </w:rPr>
      </w:pPr>
    </w:p>
    <w:p w14:paraId="4A49291E" w14:textId="77777777" w:rsidR="007021DB" w:rsidRPr="007021DB" w:rsidRDefault="007021DB" w:rsidP="007021DB">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 xml:space="preserve">בכל </w:t>
      </w:r>
      <w:r w:rsidR="001548BD">
        <w:rPr>
          <w:rFonts w:ascii="David" w:hAnsi="David" w:cs="David"/>
          <w:sz w:val="26"/>
          <w:szCs w:val="26"/>
          <w:rtl/>
          <w:lang w:bidi="he-IL"/>
        </w:rPr>
        <w:t>הנוגע לפתיחת השומה על-ידי המנהל</w:t>
      </w:r>
      <w:r w:rsidR="001548BD">
        <w:rPr>
          <w:rFonts w:ascii="David" w:hAnsi="David" w:cs="David" w:hint="cs"/>
          <w:sz w:val="26"/>
          <w:szCs w:val="26"/>
          <w:rtl/>
          <w:lang w:bidi="he-IL"/>
        </w:rPr>
        <w:t>,</w:t>
      </w:r>
      <w:r w:rsidRPr="007021DB">
        <w:rPr>
          <w:rFonts w:ascii="David" w:hAnsi="David" w:cs="David"/>
          <w:sz w:val="26"/>
          <w:szCs w:val="26"/>
          <w:rtl/>
          <w:lang w:bidi="he-IL"/>
        </w:rPr>
        <w:t xml:space="preserve"> מסקנתי היא כי המשיב פעל כדין כאשר קבע כי על המערער לשלם גם מס יסף. סמכויותיו של המנהל לפתוח את השומה קבועות באופן ברור במסגרת סעיף 147 שהובא לעיל. אני גם מקבל את עמדת המשיב כי סמכויותיו של המנהל בנוגע לפתיחת השומה הן רחבות . יש להוסיף כי מקובל עלי ההסבר שנתנה הגב' תורג'מן במסגרת תצהירה בנוגע לפתיחת השומה. נישום שאינו מדווח דיווח אמת ונכון, ראוי כי המנהל ישקול את פתיחת השומה בעניינו לכשהדבר מתברר לפניו. לפיכך, אני מוצא כי המשיב פעל כדין בקשר לכך ויש לדחות את טענות המערער הנוגעות לעניין.</w:t>
      </w:r>
    </w:p>
    <w:p w14:paraId="73BB423B" w14:textId="77777777" w:rsidR="007021DB" w:rsidRPr="007021DB" w:rsidRDefault="007021DB" w:rsidP="007021DB">
      <w:pPr>
        <w:pStyle w:val="ae"/>
        <w:rPr>
          <w:rFonts w:ascii="David" w:hAnsi="David" w:cs="David"/>
          <w:sz w:val="26"/>
          <w:szCs w:val="26"/>
          <w:lang w:bidi="he-IL"/>
        </w:rPr>
      </w:pPr>
    </w:p>
    <w:p w14:paraId="71E8C592" w14:textId="77777777" w:rsidR="007021DB" w:rsidRPr="007021DB" w:rsidRDefault="007021DB" w:rsidP="001548BD">
      <w:pPr>
        <w:pStyle w:val="ae"/>
        <w:widowControl w:val="0"/>
        <w:numPr>
          <w:ilvl w:val="0"/>
          <w:numId w:val="2"/>
        </w:numPr>
        <w:bidi/>
        <w:spacing w:after="0" w:line="360" w:lineRule="auto"/>
        <w:ind w:left="1077"/>
        <w:jc w:val="both"/>
        <w:rPr>
          <w:rFonts w:ascii="David" w:hAnsi="David" w:cs="David"/>
          <w:sz w:val="26"/>
          <w:szCs w:val="26"/>
          <w:rtl/>
          <w:lang w:bidi="he-IL"/>
        </w:rPr>
      </w:pPr>
      <w:r w:rsidRPr="007021DB">
        <w:rPr>
          <w:rFonts w:ascii="David" w:hAnsi="David" w:cs="David"/>
          <w:sz w:val="26"/>
          <w:szCs w:val="26"/>
          <w:rtl/>
          <w:lang w:bidi="he-IL"/>
        </w:rPr>
        <w:t xml:space="preserve">בקשר לכך, יש להביא את פסק הדין (אליו מפנה גם המשיב במסגרת סעיף 28 לסיכומיו) </w:t>
      </w:r>
      <w:proofErr w:type="spellStart"/>
      <w:r w:rsidRPr="007021DB">
        <w:rPr>
          <w:rFonts w:ascii="David" w:hAnsi="David" w:cs="David"/>
          <w:sz w:val="26"/>
          <w:szCs w:val="26"/>
          <w:rtl/>
          <w:lang w:bidi="he-IL"/>
        </w:rPr>
        <w:t>בע</w:t>
      </w:r>
      <w:proofErr w:type="spellEnd"/>
      <w:r w:rsidRPr="007021DB">
        <w:rPr>
          <w:rFonts w:ascii="David" w:hAnsi="David" w:cs="David"/>
          <w:sz w:val="26"/>
          <w:szCs w:val="26"/>
          <w:rtl/>
        </w:rPr>
        <w:t>"</w:t>
      </w:r>
      <w:r w:rsidRPr="007021DB">
        <w:rPr>
          <w:rFonts w:ascii="David" w:hAnsi="David" w:cs="David"/>
          <w:sz w:val="26"/>
          <w:szCs w:val="26"/>
          <w:rtl/>
          <w:lang w:bidi="he-IL"/>
        </w:rPr>
        <w:t>א 3604/13</w:t>
      </w:r>
      <w:r w:rsidRPr="007021DB">
        <w:rPr>
          <w:rFonts w:ascii="David" w:hAnsi="David" w:cs="David"/>
          <w:sz w:val="26"/>
          <w:szCs w:val="26"/>
          <w:rtl/>
        </w:rPr>
        <w:t> </w:t>
      </w:r>
      <w:r w:rsidRPr="001548BD">
        <w:rPr>
          <w:rFonts w:ascii="David" w:hAnsi="David" w:cs="David"/>
          <w:bCs/>
          <w:sz w:val="26"/>
          <w:szCs w:val="26"/>
          <w:rtl/>
          <w:lang w:bidi="he-IL"/>
        </w:rPr>
        <w:t>מנהל רשות</w:t>
      </w:r>
      <w:r w:rsidRPr="001548BD">
        <w:rPr>
          <w:rFonts w:ascii="David" w:hAnsi="David" w:cs="David"/>
          <w:bCs/>
          <w:sz w:val="26"/>
          <w:szCs w:val="26"/>
          <w:rtl/>
        </w:rPr>
        <w:t xml:space="preserve"> </w:t>
      </w:r>
      <w:proofErr w:type="spellStart"/>
      <w:r w:rsidRPr="001548BD">
        <w:rPr>
          <w:rFonts w:ascii="David" w:hAnsi="David" w:cs="David"/>
          <w:bCs/>
          <w:sz w:val="26"/>
          <w:szCs w:val="26"/>
          <w:rtl/>
          <w:lang w:bidi="he-IL"/>
        </w:rPr>
        <w:t>המסים</w:t>
      </w:r>
      <w:proofErr w:type="spellEnd"/>
      <w:r w:rsidRPr="001548BD">
        <w:rPr>
          <w:rFonts w:ascii="David" w:hAnsi="David" w:cs="David"/>
          <w:bCs/>
          <w:sz w:val="26"/>
          <w:szCs w:val="26"/>
          <w:rtl/>
          <w:lang w:bidi="he-IL"/>
        </w:rPr>
        <w:t xml:space="preserve"> נ' יגאל צבי </w:t>
      </w:r>
      <w:proofErr w:type="spellStart"/>
      <w:r w:rsidRPr="001548BD">
        <w:rPr>
          <w:rFonts w:ascii="David" w:hAnsi="David" w:cs="David"/>
          <w:bCs/>
          <w:sz w:val="26"/>
          <w:szCs w:val="26"/>
          <w:rtl/>
          <w:lang w:bidi="he-IL"/>
        </w:rPr>
        <w:t>אייזינגר</w:t>
      </w:r>
      <w:proofErr w:type="spellEnd"/>
      <w:r w:rsidRPr="007021DB">
        <w:rPr>
          <w:rFonts w:ascii="David" w:hAnsi="David" w:cs="David"/>
          <w:sz w:val="26"/>
          <w:szCs w:val="26"/>
          <w:rtl/>
        </w:rPr>
        <w:t> (10.5.15)</w:t>
      </w:r>
      <w:r w:rsidRPr="007021DB">
        <w:rPr>
          <w:rFonts w:ascii="David" w:hAnsi="David" w:cs="David"/>
          <w:sz w:val="26"/>
          <w:szCs w:val="26"/>
          <w:rtl/>
          <w:lang w:bidi="he-IL"/>
        </w:rPr>
        <w:t>:</w:t>
      </w:r>
    </w:p>
    <w:p w14:paraId="09F060DD" w14:textId="77777777" w:rsidR="007021DB" w:rsidRPr="007021DB" w:rsidRDefault="007021DB" w:rsidP="00875259">
      <w:pPr>
        <w:pStyle w:val="p00"/>
        <w:bidi/>
        <w:spacing w:before="72" w:beforeAutospacing="0" w:after="0" w:afterAutospacing="0" w:line="360" w:lineRule="auto"/>
        <w:ind w:left="1785" w:right="1276"/>
        <w:jc w:val="both"/>
        <w:rPr>
          <w:rStyle w:val="default"/>
          <w:rFonts w:ascii="David" w:hAnsi="David" w:cs="David"/>
          <w:b/>
          <w:bCs/>
          <w:sz w:val="26"/>
          <w:szCs w:val="26"/>
        </w:rPr>
      </w:pPr>
      <w:r w:rsidRPr="007021DB">
        <w:rPr>
          <w:rStyle w:val="default"/>
          <w:rFonts w:ascii="David" w:hAnsi="David" w:cs="David"/>
          <w:b/>
          <w:bCs/>
          <w:sz w:val="26"/>
          <w:szCs w:val="26"/>
          <w:rtl/>
        </w:rPr>
        <w:t>"34.</w:t>
      </w:r>
      <w:r w:rsidR="00875259">
        <w:rPr>
          <w:rStyle w:val="default"/>
          <w:rFonts w:ascii="David" w:hAnsi="David" w:cs="David" w:hint="cs"/>
          <w:b/>
          <w:bCs/>
          <w:sz w:val="26"/>
          <w:szCs w:val="26"/>
          <w:rtl/>
        </w:rPr>
        <w:t xml:space="preserve"> </w:t>
      </w:r>
      <w:r w:rsidRPr="007021DB">
        <w:rPr>
          <w:rStyle w:val="default"/>
          <w:rFonts w:ascii="David" w:hAnsi="David" w:cs="David"/>
          <w:b/>
          <w:bCs/>
          <w:sz w:val="26"/>
          <w:szCs w:val="26"/>
          <w:rtl/>
        </w:rPr>
        <w:t xml:space="preserve">לייחוד זה של הוראת 147 לפקודה (וההוראות הדומות לה בחוקי מס אחרים כאמור), שאינה עוסקת ברשות </w:t>
      </w:r>
      <w:r w:rsidRPr="007021DB">
        <w:rPr>
          <w:rStyle w:val="default"/>
          <w:rFonts w:ascii="David" w:hAnsi="David" w:cs="David"/>
          <w:b/>
          <w:bCs/>
          <w:sz w:val="26"/>
          <w:szCs w:val="26"/>
          <w:rtl/>
        </w:rPr>
        <w:lastRenderedPageBreak/>
        <w:t xml:space="preserve">המבקשת לעיין מחדש בהחלטותיה היא, אלא מדובר ברשות ממונה המבקשת לבצע עיון מחדש במסגרת תפקיד של פיקוח על החלטות הכפופים לה - יש השלכות </w:t>
      </w:r>
      <w:proofErr w:type="spellStart"/>
      <w:r w:rsidRPr="007021DB">
        <w:rPr>
          <w:rStyle w:val="default"/>
          <w:rFonts w:ascii="David" w:hAnsi="David" w:cs="David"/>
          <w:b/>
          <w:bCs/>
          <w:sz w:val="26"/>
          <w:szCs w:val="26"/>
          <w:rtl/>
        </w:rPr>
        <w:t>לענין</w:t>
      </w:r>
      <w:proofErr w:type="spellEnd"/>
      <w:r w:rsidRPr="007021DB">
        <w:rPr>
          <w:rStyle w:val="default"/>
          <w:rFonts w:ascii="David" w:hAnsi="David" w:cs="David"/>
          <w:b/>
          <w:bCs/>
          <w:sz w:val="26"/>
          <w:szCs w:val="26"/>
          <w:rtl/>
        </w:rPr>
        <w:t xml:space="preserve"> היקף הסמכות </w:t>
      </w:r>
      <w:proofErr w:type="spellStart"/>
      <w:r w:rsidRPr="007021DB">
        <w:rPr>
          <w:rStyle w:val="default"/>
          <w:rFonts w:ascii="David" w:hAnsi="David" w:cs="David"/>
          <w:b/>
          <w:bCs/>
          <w:sz w:val="26"/>
          <w:szCs w:val="26"/>
          <w:rtl/>
        </w:rPr>
        <w:t>ולענין</w:t>
      </w:r>
      <w:proofErr w:type="spellEnd"/>
      <w:r w:rsidRPr="007021DB">
        <w:rPr>
          <w:rStyle w:val="default"/>
          <w:rFonts w:ascii="David" w:hAnsi="David" w:cs="David"/>
          <w:b/>
          <w:bCs/>
          <w:sz w:val="26"/>
          <w:szCs w:val="26"/>
          <w:rtl/>
        </w:rPr>
        <w:t xml:space="preserve"> הנסיבות העשויות להצדיק עיון מחדש ושינוי החלטה קודמת.   כך למשל, יש לתת משקל מוגבל לעובדה ששגגה בשומה אירעה עקב טעות של פקיד השומה, שהרי לשם תיקון טעויות כאלה ממש הוענקה הסמכות למנהל בסעיף 147 לפקודה.</w:t>
      </w:r>
    </w:p>
    <w:p w14:paraId="65C0A446" w14:textId="77777777" w:rsidR="007021DB" w:rsidRPr="007021DB" w:rsidRDefault="007021DB" w:rsidP="007021DB">
      <w:pPr>
        <w:pStyle w:val="p00"/>
        <w:bidi/>
        <w:spacing w:before="72" w:beforeAutospacing="0" w:after="0" w:afterAutospacing="0" w:line="360" w:lineRule="auto"/>
        <w:ind w:left="1785" w:right="1276"/>
        <w:jc w:val="both"/>
        <w:rPr>
          <w:rStyle w:val="default"/>
          <w:rFonts w:ascii="David" w:hAnsi="David" w:cs="David"/>
          <w:b/>
          <w:bCs/>
          <w:sz w:val="26"/>
          <w:szCs w:val="26"/>
          <w:rtl/>
        </w:rPr>
      </w:pPr>
      <w:r w:rsidRPr="007021DB">
        <w:rPr>
          <w:rStyle w:val="default"/>
          <w:rFonts w:ascii="David" w:hAnsi="David" w:cs="David"/>
          <w:b/>
          <w:bCs/>
          <w:sz w:val="26"/>
          <w:szCs w:val="26"/>
          <w:rtl/>
        </w:rPr>
        <w:t xml:space="preserve">35. הסמכות לפי סעיף 147 היא רחבה, ואינה מוגבלת לעילות ספציפיות או לסוג טעות כזה או אחר (ע"א 264/64 בן ציון נ' פקיד השומה, פ"ד </w:t>
      </w:r>
      <w:proofErr w:type="spellStart"/>
      <w:r w:rsidRPr="007021DB">
        <w:rPr>
          <w:rStyle w:val="default"/>
          <w:rFonts w:ascii="David" w:hAnsi="David" w:cs="David"/>
          <w:b/>
          <w:bCs/>
          <w:sz w:val="26"/>
          <w:szCs w:val="26"/>
          <w:rtl/>
        </w:rPr>
        <w:t>יט</w:t>
      </w:r>
      <w:proofErr w:type="spellEnd"/>
      <w:r w:rsidRPr="007021DB">
        <w:rPr>
          <w:rStyle w:val="default"/>
          <w:rFonts w:ascii="David" w:hAnsi="David" w:cs="David"/>
          <w:b/>
          <w:bCs/>
          <w:sz w:val="26"/>
          <w:szCs w:val="26"/>
          <w:rtl/>
        </w:rPr>
        <w:t xml:space="preserve">(1) 245, 248 (1965), להלן: ענין בן ציון; ע"א 669/66 מטעי רסקו נ' פקיד השומה, פ"ד </w:t>
      </w:r>
      <w:proofErr w:type="spellStart"/>
      <w:r w:rsidRPr="007021DB">
        <w:rPr>
          <w:rStyle w:val="default"/>
          <w:rFonts w:ascii="David" w:hAnsi="David" w:cs="David"/>
          <w:b/>
          <w:bCs/>
          <w:sz w:val="26"/>
          <w:szCs w:val="26"/>
          <w:rtl/>
        </w:rPr>
        <w:t>כא</w:t>
      </w:r>
      <w:proofErr w:type="spellEnd"/>
      <w:r w:rsidRPr="007021DB">
        <w:rPr>
          <w:rStyle w:val="default"/>
          <w:rFonts w:ascii="David" w:hAnsi="David" w:cs="David"/>
          <w:b/>
          <w:bCs/>
          <w:sz w:val="26"/>
          <w:szCs w:val="26"/>
          <w:rtl/>
        </w:rPr>
        <w:t xml:space="preserve">(1) 141, 144 (1967), להלן: ענין מטעי רסקו; ענין יעקובוביץ, בעמ' 370; ע"א 5324/05 </w:t>
      </w:r>
      <w:proofErr w:type="spellStart"/>
      <w:r w:rsidRPr="007021DB">
        <w:rPr>
          <w:rStyle w:val="default"/>
          <w:rFonts w:ascii="David" w:hAnsi="David" w:cs="David"/>
          <w:b/>
          <w:bCs/>
          <w:sz w:val="26"/>
          <w:szCs w:val="26"/>
          <w:rtl/>
        </w:rPr>
        <w:t>שחאדה</w:t>
      </w:r>
      <w:proofErr w:type="spellEnd"/>
      <w:r w:rsidRPr="007021DB">
        <w:rPr>
          <w:rStyle w:val="default"/>
          <w:rFonts w:ascii="David" w:hAnsi="David" w:cs="David"/>
          <w:b/>
          <w:bCs/>
          <w:sz w:val="26"/>
          <w:szCs w:val="26"/>
          <w:rtl/>
        </w:rPr>
        <w:t xml:space="preserve"> נ' פקיד שומה עכו (9.8.2009); ענין מרום). וכעולה מטיעוני בא כוח המערער ומפסיקת בתי המשפט המחוזיים, נראה שזו גם הפרקטיקה הנוהגת הלכה למעשה (ראו למשל: בש"א (ת"א) 9769/06 דהב מערכות פיננסיות בע"מ נ' פקיד שומה ת"א (10.7.2007), להלן: ענין דהב; </w:t>
      </w:r>
      <w:proofErr w:type="spellStart"/>
      <w:r w:rsidRPr="007021DB">
        <w:rPr>
          <w:rStyle w:val="default"/>
          <w:rFonts w:ascii="David" w:hAnsi="David" w:cs="David"/>
          <w:b/>
          <w:bCs/>
          <w:sz w:val="26"/>
          <w:szCs w:val="26"/>
          <w:rtl/>
        </w:rPr>
        <w:t>עמ"ה</w:t>
      </w:r>
      <w:proofErr w:type="spellEnd"/>
      <w:r w:rsidRPr="007021DB">
        <w:rPr>
          <w:rStyle w:val="default"/>
          <w:rFonts w:ascii="David" w:hAnsi="David" w:cs="David"/>
          <w:b/>
          <w:bCs/>
          <w:sz w:val="26"/>
          <w:szCs w:val="26"/>
          <w:rtl/>
        </w:rPr>
        <w:t xml:space="preserve"> 13/98 </w:t>
      </w:r>
      <w:proofErr w:type="spellStart"/>
      <w:r w:rsidRPr="007021DB">
        <w:rPr>
          <w:rStyle w:val="default"/>
          <w:rFonts w:ascii="David" w:hAnsi="David" w:cs="David"/>
          <w:b/>
          <w:bCs/>
          <w:sz w:val="26"/>
          <w:szCs w:val="26"/>
          <w:rtl/>
        </w:rPr>
        <w:t>איגלטקס</w:t>
      </w:r>
      <w:proofErr w:type="spellEnd"/>
      <w:r w:rsidRPr="007021DB">
        <w:rPr>
          <w:rStyle w:val="default"/>
          <w:rFonts w:ascii="David" w:hAnsi="David" w:cs="David"/>
          <w:b/>
          <w:bCs/>
          <w:sz w:val="26"/>
          <w:szCs w:val="26"/>
          <w:rtl/>
        </w:rPr>
        <w:t xml:space="preserve"> בע"מ נ' נציב מס הכנסה (17.6.1999); וכן </w:t>
      </w:r>
      <w:proofErr w:type="spellStart"/>
      <w:r w:rsidRPr="007021DB">
        <w:rPr>
          <w:rStyle w:val="default"/>
          <w:rFonts w:ascii="David" w:hAnsi="David" w:cs="David"/>
          <w:b/>
          <w:bCs/>
          <w:sz w:val="26"/>
          <w:szCs w:val="26"/>
          <w:rtl/>
        </w:rPr>
        <w:t>עמ"ה</w:t>
      </w:r>
      <w:proofErr w:type="spellEnd"/>
      <w:r w:rsidRPr="007021DB">
        <w:rPr>
          <w:rStyle w:val="default"/>
          <w:rFonts w:ascii="David" w:hAnsi="David" w:cs="David"/>
          <w:b/>
          <w:bCs/>
          <w:sz w:val="26"/>
          <w:szCs w:val="26"/>
          <w:rtl/>
        </w:rPr>
        <w:t xml:space="preserve"> 52,53/90 ברקוביץ נ' </w:t>
      </w:r>
      <w:proofErr w:type="spellStart"/>
      <w:r w:rsidRPr="007021DB">
        <w:rPr>
          <w:rStyle w:val="default"/>
          <w:rFonts w:ascii="David" w:hAnsi="David" w:cs="David"/>
          <w:b/>
          <w:bCs/>
          <w:sz w:val="26"/>
          <w:szCs w:val="26"/>
          <w:rtl/>
        </w:rPr>
        <w:t>פ"ש</w:t>
      </w:r>
      <w:proofErr w:type="spellEnd"/>
      <w:r w:rsidRPr="007021DB">
        <w:rPr>
          <w:rStyle w:val="default"/>
          <w:rFonts w:ascii="David" w:hAnsi="David" w:cs="David"/>
          <w:b/>
          <w:bCs/>
          <w:sz w:val="26"/>
          <w:szCs w:val="26"/>
          <w:rtl/>
        </w:rPr>
        <w:t xml:space="preserve"> חיפה, הנזכר </w:t>
      </w:r>
      <w:proofErr w:type="spellStart"/>
      <w:r w:rsidRPr="007021DB">
        <w:rPr>
          <w:rStyle w:val="default"/>
          <w:rFonts w:ascii="David" w:hAnsi="David" w:cs="David"/>
          <w:b/>
          <w:bCs/>
          <w:sz w:val="26"/>
          <w:szCs w:val="26"/>
          <w:rtl/>
        </w:rPr>
        <w:t>בענין</w:t>
      </w:r>
      <w:proofErr w:type="spellEnd"/>
      <w:r w:rsidRPr="007021DB">
        <w:rPr>
          <w:rStyle w:val="default"/>
          <w:rFonts w:ascii="David" w:hAnsi="David" w:cs="David"/>
          <w:b/>
          <w:bCs/>
          <w:sz w:val="26"/>
          <w:szCs w:val="26"/>
          <w:rtl/>
        </w:rPr>
        <w:t xml:space="preserve"> </w:t>
      </w:r>
      <w:proofErr w:type="spellStart"/>
      <w:r w:rsidRPr="007021DB">
        <w:rPr>
          <w:rStyle w:val="default"/>
          <w:rFonts w:ascii="David" w:hAnsi="David" w:cs="David"/>
          <w:b/>
          <w:bCs/>
          <w:sz w:val="26"/>
          <w:szCs w:val="26"/>
          <w:rtl/>
        </w:rPr>
        <w:t>איגלטקס</w:t>
      </w:r>
      <w:proofErr w:type="spellEnd"/>
      <w:r w:rsidRPr="007021DB">
        <w:rPr>
          <w:rStyle w:val="default"/>
          <w:rFonts w:ascii="David" w:hAnsi="David" w:cs="David"/>
          <w:b/>
          <w:bCs/>
          <w:sz w:val="26"/>
          <w:szCs w:val="26"/>
          <w:rtl/>
        </w:rPr>
        <w:t xml:space="preserve"> הנ"ל והאסמכתאות הנוספות הנזכרות שם).   וכפי שכבר נאמר לעיל באשר לסמכות הכללית לעיין מחדש בהחלטה, הרי שגם </w:t>
      </w:r>
      <w:proofErr w:type="spellStart"/>
      <w:r w:rsidRPr="007021DB">
        <w:rPr>
          <w:rStyle w:val="default"/>
          <w:rFonts w:ascii="David" w:hAnsi="David" w:cs="David"/>
          <w:b/>
          <w:bCs/>
          <w:sz w:val="26"/>
          <w:szCs w:val="26"/>
          <w:rtl/>
        </w:rPr>
        <w:t>לענין</w:t>
      </w:r>
      <w:proofErr w:type="spellEnd"/>
      <w:r w:rsidRPr="007021DB">
        <w:rPr>
          <w:rStyle w:val="default"/>
          <w:rFonts w:ascii="David" w:hAnsi="David" w:cs="David"/>
          <w:b/>
          <w:bCs/>
          <w:sz w:val="26"/>
          <w:szCs w:val="26"/>
          <w:rtl/>
        </w:rPr>
        <w:t xml:space="preserve"> הסמכות לפי סעיף 147 אין מקום לקטגוריזציה נוקשה של עילות ונסיבות שיצדיקו עיון מחדש בהחלטה שניתנה, ולאבחנות מראש בין סוגי טעויות ועילות שעשויות להצדיק, או שלא להצדיק, עיון מחדש בהחלטה. גם כאן נדרש בכל מקרה לגופו לבחון את איזון האינטרסים הקונקרטי, כאשר נקודת המוצא היא שקיימת ככלל סמכות רחבה לעיין מחדש בשומה שניתנה, והמבחן הוא סבירות ומידתיות הפעלת שיקול הדעת במקרה הנתון.   גם </w:t>
      </w:r>
      <w:r w:rsidRPr="007021DB">
        <w:rPr>
          <w:rStyle w:val="default"/>
          <w:rFonts w:ascii="David" w:hAnsi="David" w:cs="David"/>
          <w:b/>
          <w:bCs/>
          <w:sz w:val="26"/>
          <w:szCs w:val="26"/>
          <w:rtl/>
        </w:rPr>
        <w:lastRenderedPageBreak/>
        <w:t>מבחינה מתודית-אנליטית, ראוי להימנע מיצירת מחסומים אפריוריים להפעלת הסמכות לפי סעיף 147 - כמו גם להפעלת הסמכות הכללית שלפי סעיף 15 לחוק הפרשנות - על ידי יצירת קטגוריות ועילות שרק בהתקיימן ניתן להפעיל את הסמכות. כפי שכבר נאמר לעיל, סמכות לחוד ושיקול דעת לחוד. הסמכות היא כאמור כללית ורחבה, ואילו את בחינת איזון האינטרסים יש לערוך במסגרת שיקול הדעת בהפעלתה של הסמכות. שיקול דעת זה מחייב בחינה של כל מקרה לגופו על יסוד איזון השיקולים והאינטרסים הקונקרטיים בכל מקרה. יצירת קטגוריזציה פורמלית של עילות יש בה כדי לערב בין שאלת הסמכות לשאלות של שיקול דעת</w:t>
      </w:r>
      <w:r w:rsidRPr="007021DB">
        <w:rPr>
          <w:rStyle w:val="default"/>
          <w:rFonts w:ascii="David" w:hAnsi="David" w:cs="David"/>
          <w:b/>
          <w:bCs/>
          <w:sz w:val="26"/>
          <w:szCs w:val="26"/>
          <w:lang w:bidi="ar-SA"/>
        </w:rPr>
        <w:t>."</w:t>
      </w:r>
    </w:p>
    <w:p w14:paraId="2A6AEECB" w14:textId="77777777" w:rsidR="007021DB" w:rsidRPr="007021DB" w:rsidRDefault="007021DB" w:rsidP="007021DB">
      <w:pPr>
        <w:pStyle w:val="p00"/>
        <w:bidi/>
        <w:spacing w:before="72" w:beforeAutospacing="0" w:after="0" w:afterAutospacing="0" w:line="360" w:lineRule="auto"/>
        <w:ind w:left="1785" w:right="1276"/>
        <w:jc w:val="both"/>
        <w:rPr>
          <w:rStyle w:val="default"/>
          <w:rFonts w:ascii="David" w:hAnsi="David" w:cs="David"/>
          <w:b/>
          <w:bCs/>
          <w:sz w:val="26"/>
          <w:szCs w:val="26"/>
          <w:rtl/>
          <w:lang w:bidi="ar-SA"/>
        </w:rPr>
      </w:pPr>
    </w:p>
    <w:p w14:paraId="6357A1A8" w14:textId="77777777" w:rsidR="007021DB" w:rsidRDefault="007021DB" w:rsidP="007021DB">
      <w:pPr>
        <w:pStyle w:val="ae"/>
        <w:widowControl w:val="0"/>
        <w:numPr>
          <w:ilvl w:val="0"/>
          <w:numId w:val="2"/>
        </w:numPr>
        <w:bidi/>
        <w:spacing w:after="360" w:line="360" w:lineRule="auto"/>
        <w:jc w:val="both"/>
        <w:rPr>
          <w:rFonts w:ascii="David" w:hAnsi="David" w:cs="David"/>
          <w:sz w:val="26"/>
          <w:szCs w:val="26"/>
          <w:lang w:bidi="he-IL"/>
        </w:rPr>
      </w:pPr>
      <w:r w:rsidRPr="007021DB">
        <w:rPr>
          <w:rFonts w:ascii="David" w:hAnsi="David" w:cs="David"/>
          <w:sz w:val="26"/>
          <w:szCs w:val="26"/>
          <w:rtl/>
          <w:lang w:bidi="he-IL"/>
        </w:rPr>
        <w:t>מהאמור עולה כי בידי המנהל סמכות כללית ורחבה לפעול בהתאם לסעיף 147 לפקודה ובמסגרת הערעור יש לשקול את נסיבות פתיחת השומה והשיקולים שביסודה. ממכלול האמור עולה כי המנהל פעל כדין שפתח את השומה והורה על תשלום מס היסף כפי שנעשה.</w:t>
      </w:r>
    </w:p>
    <w:p w14:paraId="33E1A7E9" w14:textId="77777777" w:rsidR="001548BD" w:rsidRDefault="001548BD" w:rsidP="001548BD">
      <w:pPr>
        <w:pStyle w:val="ae"/>
        <w:widowControl w:val="0"/>
        <w:bidi/>
        <w:spacing w:after="360" w:line="360" w:lineRule="auto"/>
        <w:ind w:left="1080"/>
        <w:jc w:val="both"/>
        <w:rPr>
          <w:rFonts w:ascii="David" w:hAnsi="David" w:cs="David"/>
          <w:sz w:val="26"/>
          <w:szCs w:val="26"/>
          <w:lang w:bidi="he-IL"/>
        </w:rPr>
      </w:pPr>
    </w:p>
    <w:p w14:paraId="72F3757A" w14:textId="77777777" w:rsidR="001548BD" w:rsidRDefault="001548BD" w:rsidP="001548BD">
      <w:pPr>
        <w:pStyle w:val="ae"/>
        <w:widowControl w:val="0"/>
        <w:numPr>
          <w:ilvl w:val="0"/>
          <w:numId w:val="2"/>
        </w:numPr>
        <w:bidi/>
        <w:spacing w:after="360" w:line="360" w:lineRule="auto"/>
        <w:jc w:val="both"/>
        <w:rPr>
          <w:rFonts w:ascii="David" w:hAnsi="David" w:cs="David"/>
          <w:sz w:val="26"/>
          <w:szCs w:val="26"/>
          <w:lang w:bidi="he-IL"/>
        </w:rPr>
      </w:pPr>
      <w:r>
        <w:rPr>
          <w:rFonts w:ascii="David" w:hAnsi="David" w:cs="David" w:hint="cs"/>
          <w:sz w:val="26"/>
          <w:szCs w:val="26"/>
          <w:rtl/>
          <w:lang w:bidi="he-IL"/>
        </w:rPr>
        <w:t xml:space="preserve">המערער טען בהקשר למס היסף כי הגדרת "הכנסה חייבת" אינה כוללת הכנסות מסעיף 2א לפקודה ועל כן לא היה מקום לחייבו במס יסף. </w:t>
      </w:r>
    </w:p>
    <w:p w14:paraId="00EEAF60" w14:textId="77777777" w:rsidR="001548BD" w:rsidRPr="001548BD" w:rsidRDefault="001548BD" w:rsidP="001548BD">
      <w:pPr>
        <w:pStyle w:val="ae"/>
        <w:rPr>
          <w:rFonts w:ascii="David" w:hAnsi="David" w:cs="David"/>
          <w:sz w:val="26"/>
          <w:szCs w:val="26"/>
          <w:rtl/>
          <w:lang w:bidi="he-IL"/>
        </w:rPr>
      </w:pPr>
    </w:p>
    <w:p w14:paraId="5FCAB8A2" w14:textId="77777777" w:rsidR="001548BD" w:rsidRDefault="001548BD" w:rsidP="001B2A7E">
      <w:pPr>
        <w:pStyle w:val="ae"/>
        <w:widowControl w:val="0"/>
        <w:numPr>
          <w:ilvl w:val="0"/>
          <w:numId w:val="2"/>
        </w:numPr>
        <w:bidi/>
        <w:spacing w:after="0" w:line="360" w:lineRule="auto"/>
        <w:ind w:left="1077"/>
        <w:jc w:val="both"/>
        <w:rPr>
          <w:rFonts w:ascii="David" w:hAnsi="David" w:cs="David"/>
          <w:sz w:val="26"/>
          <w:szCs w:val="26"/>
          <w:lang w:bidi="he-IL"/>
        </w:rPr>
      </w:pPr>
      <w:r>
        <w:rPr>
          <w:rFonts w:ascii="David" w:hAnsi="David" w:cs="David" w:hint="cs"/>
          <w:sz w:val="26"/>
          <w:szCs w:val="26"/>
          <w:rtl/>
          <w:lang w:bidi="he-IL"/>
        </w:rPr>
        <w:t>יש לדחות טענה זו של המערער. הוראות סעיף 121ב לפקודה קובעות כך</w:t>
      </w:r>
      <w:r w:rsidR="001B2A7E">
        <w:rPr>
          <w:rFonts w:ascii="David" w:hAnsi="David" w:cs="David" w:hint="cs"/>
          <w:sz w:val="26"/>
          <w:szCs w:val="26"/>
          <w:rtl/>
          <w:lang w:bidi="he-IL"/>
        </w:rPr>
        <w:t xml:space="preserve"> (ההדגשות אינן במקור א.ד.)</w:t>
      </w:r>
      <w:r>
        <w:rPr>
          <w:rFonts w:ascii="David" w:hAnsi="David" w:cs="David" w:hint="cs"/>
          <w:sz w:val="26"/>
          <w:szCs w:val="26"/>
          <w:rtl/>
          <w:lang w:bidi="he-IL"/>
        </w:rPr>
        <w:t>:</w:t>
      </w:r>
    </w:p>
    <w:p w14:paraId="7F1A18FB" w14:textId="77777777" w:rsidR="001B2A7E" w:rsidRPr="001B2A7E" w:rsidRDefault="001B2A7E" w:rsidP="001B2A7E">
      <w:pPr>
        <w:pStyle w:val="p00"/>
        <w:bidi/>
        <w:spacing w:before="72" w:beforeAutospacing="0" w:after="0" w:afterAutospacing="0" w:line="360" w:lineRule="auto"/>
        <w:ind w:left="1785" w:right="1276"/>
        <w:jc w:val="both"/>
        <w:rPr>
          <w:rStyle w:val="default"/>
          <w:rFonts w:ascii="David" w:hAnsi="David" w:cs="David"/>
          <w:b/>
          <w:bCs/>
          <w:sz w:val="26"/>
          <w:szCs w:val="26"/>
        </w:rPr>
      </w:pPr>
      <w:r w:rsidRPr="001B2A7E">
        <w:rPr>
          <w:rStyle w:val="default"/>
          <w:rFonts w:ascii="David" w:hAnsi="David" w:cs="David" w:hint="cs"/>
          <w:b/>
          <w:bCs/>
          <w:sz w:val="26"/>
          <w:szCs w:val="26"/>
          <w:rtl/>
        </w:rPr>
        <w:t>"</w:t>
      </w:r>
      <w:r w:rsidRPr="001B2A7E">
        <w:rPr>
          <w:rStyle w:val="default"/>
          <w:rFonts w:ascii="David" w:hAnsi="David" w:cs="David"/>
          <w:b/>
          <w:bCs/>
          <w:sz w:val="26"/>
          <w:szCs w:val="26"/>
          <w:rtl/>
        </w:rPr>
        <w:t>(א) יחיד אשר הכנסתו החייבת בשנת המס עלתה על 640,000 שקלים חדשים, יהיה חייב במס נוסף על חלק הכנסתו החייבת העולה על 640,000 שקלים חדשים (בסעיף זה – הכנסה החייבת במס נוסף), בשיעור של 3%.</w:t>
      </w:r>
    </w:p>
    <w:p w14:paraId="273D63B3" w14:textId="77777777" w:rsidR="001B2A7E" w:rsidRPr="001B2A7E" w:rsidRDefault="001B2A7E" w:rsidP="001B2A7E">
      <w:pPr>
        <w:pStyle w:val="p00"/>
        <w:bidi/>
        <w:spacing w:before="72" w:beforeAutospacing="0" w:after="0" w:afterAutospacing="0" w:line="360" w:lineRule="auto"/>
        <w:ind w:left="1785" w:right="1276"/>
        <w:jc w:val="both"/>
        <w:rPr>
          <w:rStyle w:val="default"/>
          <w:rFonts w:ascii="David" w:hAnsi="David" w:cs="David"/>
          <w:b/>
          <w:bCs/>
          <w:sz w:val="26"/>
          <w:szCs w:val="26"/>
          <w:rtl/>
        </w:rPr>
      </w:pPr>
      <w:r w:rsidRPr="001B2A7E">
        <w:rPr>
          <w:rStyle w:val="default"/>
          <w:rFonts w:ascii="David" w:hAnsi="David" w:cs="David"/>
          <w:b/>
          <w:bCs/>
          <w:sz w:val="26"/>
          <w:szCs w:val="26"/>
          <w:rtl/>
        </w:rPr>
        <w:t>(ב)  על הכנסה החייבת במס נוסף לא יחולו הוראות סעיף 91(ד) לעניין מקדמות.</w:t>
      </w:r>
    </w:p>
    <w:p w14:paraId="79269015" w14:textId="77777777" w:rsidR="001B2A7E" w:rsidRPr="001B2A7E" w:rsidRDefault="001B2A7E" w:rsidP="001B2A7E">
      <w:pPr>
        <w:pStyle w:val="p00"/>
        <w:bidi/>
        <w:spacing w:before="72" w:beforeAutospacing="0" w:after="0" w:afterAutospacing="0" w:line="360" w:lineRule="auto"/>
        <w:ind w:left="1785" w:right="1276"/>
        <w:jc w:val="both"/>
        <w:rPr>
          <w:rStyle w:val="default"/>
          <w:rFonts w:ascii="David" w:hAnsi="David" w:cs="David"/>
          <w:b/>
          <w:bCs/>
          <w:sz w:val="26"/>
          <w:szCs w:val="26"/>
          <w:rtl/>
        </w:rPr>
      </w:pPr>
      <w:r w:rsidRPr="001B2A7E">
        <w:rPr>
          <w:rStyle w:val="default"/>
          <w:rFonts w:ascii="David" w:hAnsi="David" w:cs="David"/>
          <w:b/>
          <w:bCs/>
          <w:sz w:val="26"/>
          <w:szCs w:val="26"/>
          <w:rtl/>
        </w:rPr>
        <w:t xml:space="preserve">(ג)   </w:t>
      </w:r>
      <w:r w:rsidRPr="001B2A7E">
        <w:rPr>
          <w:rStyle w:val="default"/>
          <w:rFonts w:ascii="David" w:hAnsi="David" w:cs="David"/>
          <w:b/>
          <w:bCs/>
          <w:sz w:val="26"/>
          <w:szCs w:val="26"/>
          <w:u w:val="single"/>
          <w:rtl/>
        </w:rPr>
        <w:t>הוראות סעיף זה יחולו על אף האמור בכל חיקוק</w:t>
      </w:r>
      <w:r w:rsidRPr="001B2A7E">
        <w:rPr>
          <w:rStyle w:val="default"/>
          <w:rFonts w:ascii="David" w:hAnsi="David" w:cs="David"/>
          <w:b/>
          <w:bCs/>
          <w:sz w:val="26"/>
          <w:szCs w:val="26"/>
          <w:rtl/>
        </w:rPr>
        <w:t>.</w:t>
      </w:r>
    </w:p>
    <w:p w14:paraId="57726F76" w14:textId="77777777" w:rsidR="001B2A7E" w:rsidRPr="001B2A7E" w:rsidRDefault="001B2A7E" w:rsidP="001B2A7E">
      <w:pPr>
        <w:pStyle w:val="p00"/>
        <w:bidi/>
        <w:spacing w:before="72" w:beforeAutospacing="0" w:after="0" w:afterAutospacing="0" w:line="360" w:lineRule="auto"/>
        <w:ind w:left="1785" w:right="1276"/>
        <w:jc w:val="both"/>
        <w:rPr>
          <w:rStyle w:val="default"/>
          <w:rFonts w:ascii="David" w:hAnsi="David" w:cs="David"/>
          <w:b/>
          <w:bCs/>
          <w:sz w:val="26"/>
          <w:szCs w:val="26"/>
          <w:rtl/>
        </w:rPr>
      </w:pPr>
      <w:r w:rsidRPr="001B2A7E">
        <w:rPr>
          <w:rStyle w:val="default"/>
          <w:rFonts w:ascii="David" w:hAnsi="David" w:cs="David"/>
          <w:b/>
          <w:bCs/>
          <w:sz w:val="26"/>
          <w:szCs w:val="26"/>
          <w:rtl/>
        </w:rPr>
        <w:lastRenderedPageBreak/>
        <w:t>(ד)  הוראות סעיף 8(ג) יחולו לגבי ההכנסות הקבועות בו, בחישוב ההכנסה החייבת לעניין סעיף זה.</w:t>
      </w:r>
    </w:p>
    <w:p w14:paraId="5C2AE931" w14:textId="77777777" w:rsidR="001B2A7E" w:rsidRPr="001B2A7E" w:rsidRDefault="001B2A7E" w:rsidP="001B2A7E">
      <w:pPr>
        <w:pStyle w:val="p00"/>
        <w:bidi/>
        <w:spacing w:before="72" w:beforeAutospacing="0" w:after="0" w:afterAutospacing="0" w:line="360" w:lineRule="auto"/>
        <w:ind w:left="1785" w:right="1276"/>
        <w:jc w:val="both"/>
        <w:rPr>
          <w:rStyle w:val="default"/>
          <w:rFonts w:ascii="David" w:hAnsi="David" w:cs="David"/>
          <w:b/>
          <w:bCs/>
          <w:sz w:val="26"/>
          <w:szCs w:val="26"/>
          <w:rtl/>
        </w:rPr>
      </w:pPr>
      <w:r w:rsidRPr="001B2A7E">
        <w:rPr>
          <w:rStyle w:val="default"/>
          <w:rFonts w:ascii="David" w:hAnsi="David" w:cs="David"/>
          <w:b/>
          <w:bCs/>
          <w:sz w:val="26"/>
          <w:szCs w:val="26"/>
          <w:rtl/>
        </w:rPr>
        <w:t xml:space="preserve">(ה)  בסעיף זה, "הכנסה חייבת" – הכנסה חייבת כהגדרתה בסעיף 1 וכמשמעותה בסעיף 89, למעט סכום אינפלציוני כהגדרתו בסעיף 88 וסכום אינפלציוני כהגדרתו בסעיף 47 לחוק מיסוי מקרקעין, ולרבות שבח כמשמעותו בחוק מיסוי מקרקעין, ואולם לגבי מכירת זכות במקרקעין בדירת מגורים כהגדרתה בחוק האמור – רק אם שווי מכירתה עולה על 4 מיליון שקלים חדשים והמכירה אינה פטורה ממס לפי כל דין; הסכום האמור יתואם בהתאם להוראות סעיף 9(ג2) לחוק מיסוי מקרקעין, ולעניין זה יהיה המדד הבסיסי כאמור באותו סעיף המדד שפורסם ביום ד' בשבט </w:t>
      </w:r>
      <w:proofErr w:type="spellStart"/>
      <w:r w:rsidRPr="001B2A7E">
        <w:rPr>
          <w:rStyle w:val="default"/>
          <w:rFonts w:ascii="David" w:hAnsi="David" w:cs="David"/>
          <w:b/>
          <w:bCs/>
          <w:sz w:val="26"/>
          <w:szCs w:val="26"/>
          <w:rtl/>
        </w:rPr>
        <w:t>התשע"ג</w:t>
      </w:r>
      <w:proofErr w:type="spellEnd"/>
      <w:r w:rsidRPr="001B2A7E">
        <w:rPr>
          <w:rStyle w:val="default"/>
          <w:rFonts w:ascii="David" w:hAnsi="David" w:cs="David"/>
          <w:b/>
          <w:bCs/>
          <w:sz w:val="26"/>
          <w:szCs w:val="26"/>
          <w:rtl/>
        </w:rPr>
        <w:t xml:space="preserve"> (15 בינואר 2013)</w:t>
      </w:r>
      <w:r>
        <w:rPr>
          <w:rStyle w:val="default"/>
          <w:rFonts w:ascii="David" w:hAnsi="David" w:cs="David" w:hint="cs"/>
          <w:b/>
          <w:bCs/>
          <w:sz w:val="26"/>
          <w:szCs w:val="26"/>
          <w:rtl/>
        </w:rPr>
        <w:t>"</w:t>
      </w:r>
      <w:r w:rsidRPr="001B2A7E">
        <w:rPr>
          <w:rStyle w:val="default"/>
          <w:rFonts w:ascii="David" w:hAnsi="David" w:cs="David"/>
          <w:b/>
          <w:bCs/>
          <w:sz w:val="26"/>
          <w:szCs w:val="26"/>
          <w:rtl/>
        </w:rPr>
        <w:t>.</w:t>
      </w:r>
    </w:p>
    <w:p w14:paraId="7540E925" w14:textId="77777777" w:rsidR="001B2A7E" w:rsidRPr="007021DB" w:rsidRDefault="001B2A7E" w:rsidP="001B2A7E">
      <w:pPr>
        <w:pStyle w:val="ae"/>
        <w:widowControl w:val="0"/>
        <w:bidi/>
        <w:spacing w:after="360" w:line="360" w:lineRule="auto"/>
        <w:ind w:left="1080"/>
        <w:jc w:val="both"/>
        <w:rPr>
          <w:rFonts w:ascii="David" w:hAnsi="David" w:cs="David"/>
          <w:sz w:val="26"/>
          <w:szCs w:val="26"/>
          <w:lang w:bidi="he-IL"/>
        </w:rPr>
      </w:pPr>
    </w:p>
    <w:p w14:paraId="563D234E" w14:textId="77777777" w:rsidR="00D414B5" w:rsidRDefault="001B2A7E" w:rsidP="00C771CD">
      <w:pPr>
        <w:pStyle w:val="ae"/>
        <w:widowControl w:val="0"/>
        <w:numPr>
          <w:ilvl w:val="0"/>
          <w:numId w:val="2"/>
        </w:numPr>
        <w:bidi/>
        <w:spacing w:after="0" w:line="360" w:lineRule="auto"/>
        <w:ind w:left="1077"/>
        <w:jc w:val="both"/>
        <w:rPr>
          <w:rFonts w:ascii="David" w:hAnsi="David" w:cs="David"/>
          <w:sz w:val="26"/>
          <w:szCs w:val="26"/>
          <w:lang w:bidi="he-IL"/>
        </w:rPr>
      </w:pPr>
      <w:r>
        <w:rPr>
          <w:rFonts w:ascii="David" w:hAnsi="David" w:cs="David" w:hint="cs"/>
          <w:sz w:val="26"/>
          <w:szCs w:val="26"/>
          <w:rtl/>
          <w:lang w:bidi="he-IL"/>
        </w:rPr>
        <w:t xml:space="preserve">צודק המשיב </w:t>
      </w:r>
      <w:r w:rsidR="00C771CD">
        <w:rPr>
          <w:rFonts w:ascii="David" w:hAnsi="David" w:cs="David" w:hint="cs"/>
          <w:sz w:val="26"/>
          <w:szCs w:val="26"/>
          <w:rtl/>
          <w:lang w:bidi="he-IL"/>
        </w:rPr>
        <w:t>בטענתו</w:t>
      </w:r>
      <w:r>
        <w:rPr>
          <w:rFonts w:ascii="David" w:hAnsi="David" w:cs="David" w:hint="cs"/>
          <w:sz w:val="26"/>
          <w:szCs w:val="26"/>
          <w:rtl/>
          <w:lang w:bidi="he-IL"/>
        </w:rPr>
        <w:t xml:space="preserve"> כי תכלית החקיקה הייתה גביה של כל סוגי ההכנסות הגבוהות לרבות הכנסות בשיעור מס נמוך או מוגבל. בהקשר זה </w:t>
      </w:r>
      <w:r w:rsidR="00703B47">
        <w:rPr>
          <w:rFonts w:ascii="David" w:hAnsi="David" w:cs="David" w:hint="cs"/>
          <w:sz w:val="26"/>
          <w:szCs w:val="26"/>
          <w:rtl/>
          <w:lang w:bidi="he-IL"/>
        </w:rPr>
        <w:t>אפנה להוראות ביצוע מס הכנסה 9/15 (וראו בהרחבה את ההפניות שבסעיף 33 לסיכומי המשיב).</w:t>
      </w:r>
      <w:r w:rsidR="00D414B5">
        <w:rPr>
          <w:rFonts w:ascii="David" w:hAnsi="David" w:cs="David" w:hint="cs"/>
          <w:sz w:val="26"/>
          <w:szCs w:val="26"/>
          <w:rtl/>
          <w:lang w:bidi="he-IL"/>
        </w:rPr>
        <w:t xml:space="preserve"> וראו בקשר לכך גם </w:t>
      </w:r>
      <w:proofErr w:type="spellStart"/>
      <w:r w:rsidR="00D414B5">
        <w:rPr>
          <w:rFonts w:ascii="David" w:hAnsi="David" w:cs="David" w:hint="cs"/>
          <w:sz w:val="26"/>
          <w:szCs w:val="26"/>
          <w:rtl/>
          <w:lang w:bidi="he-IL"/>
        </w:rPr>
        <w:t>ב</w:t>
      </w:r>
      <w:r w:rsidR="00D414B5" w:rsidRPr="00D414B5">
        <w:rPr>
          <w:rFonts w:ascii="David" w:hAnsi="David" w:cs="David"/>
          <w:sz w:val="26"/>
          <w:szCs w:val="26"/>
          <w:rtl/>
          <w:lang w:bidi="he-IL"/>
        </w:rPr>
        <w:t>ע</w:t>
      </w:r>
      <w:proofErr w:type="spellEnd"/>
      <w:r w:rsidR="00D414B5" w:rsidRPr="00D414B5">
        <w:rPr>
          <w:rFonts w:ascii="David" w:hAnsi="David" w:cs="David"/>
          <w:sz w:val="26"/>
          <w:szCs w:val="26"/>
          <w:rtl/>
        </w:rPr>
        <w:t>"</w:t>
      </w:r>
      <w:r w:rsidR="00D414B5" w:rsidRPr="00D414B5">
        <w:rPr>
          <w:rFonts w:ascii="David" w:hAnsi="David" w:cs="David"/>
          <w:sz w:val="26"/>
          <w:szCs w:val="26"/>
          <w:rtl/>
          <w:lang w:bidi="he-IL"/>
        </w:rPr>
        <w:t xml:space="preserve">מ </w:t>
      </w:r>
      <w:r w:rsidR="00D414B5" w:rsidRPr="00D414B5">
        <w:rPr>
          <w:rFonts w:ascii="David" w:hAnsi="David" w:cs="David"/>
          <w:sz w:val="26"/>
          <w:szCs w:val="26"/>
          <w:rtl/>
        </w:rPr>
        <w:t>(</w:t>
      </w:r>
      <w:r w:rsidR="00D414B5" w:rsidRPr="00D414B5">
        <w:rPr>
          <w:rFonts w:ascii="David" w:hAnsi="David" w:cs="David"/>
          <w:sz w:val="26"/>
          <w:szCs w:val="26"/>
          <w:rtl/>
          <w:lang w:bidi="he-IL"/>
        </w:rPr>
        <w:t>ת</w:t>
      </w:r>
      <w:r w:rsidR="00D414B5" w:rsidRPr="00D414B5">
        <w:rPr>
          <w:rFonts w:ascii="David" w:hAnsi="David" w:cs="David"/>
          <w:sz w:val="26"/>
          <w:szCs w:val="26"/>
          <w:rtl/>
        </w:rPr>
        <w:t>"</w:t>
      </w:r>
      <w:r w:rsidR="00D414B5" w:rsidRPr="00D414B5">
        <w:rPr>
          <w:rFonts w:ascii="David" w:hAnsi="David" w:cs="David"/>
          <w:sz w:val="26"/>
          <w:szCs w:val="26"/>
          <w:rtl/>
          <w:lang w:bidi="he-IL"/>
        </w:rPr>
        <w:t>א</w:t>
      </w:r>
      <w:r w:rsidR="00D414B5" w:rsidRPr="00D414B5">
        <w:rPr>
          <w:rFonts w:ascii="David" w:hAnsi="David" w:cs="David"/>
          <w:sz w:val="26"/>
          <w:szCs w:val="26"/>
          <w:rtl/>
        </w:rPr>
        <w:t>) 13328-11-19 </w:t>
      </w:r>
      <w:r w:rsidR="00D414B5" w:rsidRPr="00D414B5">
        <w:rPr>
          <w:rFonts w:ascii="David" w:hAnsi="David" w:cs="David"/>
          <w:b/>
          <w:bCs/>
          <w:sz w:val="26"/>
          <w:szCs w:val="26"/>
          <w:rtl/>
          <w:lang w:bidi="he-IL"/>
        </w:rPr>
        <w:t>אלכסנדר שפונט נ</w:t>
      </w:r>
      <w:r w:rsidR="00D414B5" w:rsidRPr="00D414B5">
        <w:rPr>
          <w:rFonts w:ascii="David" w:hAnsi="David" w:cs="David"/>
          <w:b/>
          <w:bCs/>
          <w:sz w:val="26"/>
          <w:szCs w:val="26"/>
          <w:rtl/>
        </w:rPr>
        <w:t xml:space="preserve">' </w:t>
      </w:r>
      <w:r w:rsidR="00D414B5" w:rsidRPr="00D414B5">
        <w:rPr>
          <w:rFonts w:ascii="David" w:hAnsi="David" w:cs="David"/>
          <w:b/>
          <w:bCs/>
          <w:sz w:val="26"/>
          <w:szCs w:val="26"/>
          <w:rtl/>
          <w:lang w:bidi="he-IL"/>
        </w:rPr>
        <w:t xml:space="preserve">פקיד שומה תל אביב </w:t>
      </w:r>
      <w:r w:rsidR="00D414B5" w:rsidRPr="00D414B5">
        <w:rPr>
          <w:rFonts w:ascii="David" w:hAnsi="David" w:cs="David"/>
          <w:b/>
          <w:bCs/>
          <w:sz w:val="26"/>
          <w:szCs w:val="26"/>
          <w:rtl/>
        </w:rPr>
        <w:t>4 </w:t>
      </w:r>
      <w:r w:rsidR="00D414B5" w:rsidRPr="00D414B5">
        <w:rPr>
          <w:rFonts w:ascii="David" w:hAnsi="David" w:cs="David"/>
          <w:sz w:val="26"/>
          <w:szCs w:val="26"/>
          <w:rtl/>
        </w:rPr>
        <w:t>(28.07.21)</w:t>
      </w:r>
      <w:r w:rsidR="00D414B5">
        <w:rPr>
          <w:rFonts w:ascii="David" w:hAnsi="David" w:cs="David" w:hint="cs"/>
          <w:sz w:val="26"/>
          <w:szCs w:val="26"/>
          <w:rtl/>
          <w:lang w:bidi="he-IL"/>
        </w:rPr>
        <w:t>:</w:t>
      </w:r>
    </w:p>
    <w:p w14:paraId="028052B6" w14:textId="77777777" w:rsidR="007021DB" w:rsidRPr="00D414B5" w:rsidRDefault="00D414B5" w:rsidP="00D414B5">
      <w:pPr>
        <w:pStyle w:val="p00"/>
        <w:bidi/>
        <w:spacing w:before="72" w:beforeAutospacing="0" w:after="0" w:afterAutospacing="0" w:line="360" w:lineRule="auto"/>
        <w:ind w:left="1785" w:right="1276"/>
        <w:jc w:val="both"/>
        <w:rPr>
          <w:rStyle w:val="default"/>
          <w:b/>
          <w:bCs/>
        </w:rPr>
      </w:pPr>
      <w:r w:rsidRPr="00D414B5">
        <w:rPr>
          <w:rStyle w:val="default"/>
          <w:rFonts w:ascii="David" w:hAnsi="David" w:cs="David"/>
          <w:b/>
          <w:bCs/>
          <w:sz w:val="26"/>
          <w:szCs w:val="26"/>
          <w:rtl/>
        </w:rPr>
        <w:t>"הנה כי כן, מן המקובץ ע</w:t>
      </w:r>
      <w:r>
        <w:rPr>
          <w:rStyle w:val="default"/>
          <w:rFonts w:ascii="David" w:hAnsi="David" w:cs="David"/>
          <w:b/>
          <w:bCs/>
          <w:sz w:val="26"/>
          <w:szCs w:val="26"/>
          <w:rtl/>
        </w:rPr>
        <w:t>ולה כי סעיף 121 ב' הוא מס מיוחד</w:t>
      </w:r>
      <w:r>
        <w:rPr>
          <w:rStyle w:val="default"/>
          <w:rFonts w:ascii="David" w:hAnsi="David" w:cs="David" w:hint="cs"/>
          <w:b/>
          <w:bCs/>
          <w:sz w:val="26"/>
          <w:szCs w:val="26"/>
          <w:rtl/>
        </w:rPr>
        <w:t xml:space="preserve">... </w:t>
      </w:r>
      <w:r w:rsidRPr="00D414B5">
        <w:rPr>
          <w:rStyle w:val="default"/>
          <w:rFonts w:ascii="David" w:hAnsi="David" w:cs="David"/>
          <w:b/>
          <w:bCs/>
          <w:sz w:val="26"/>
          <w:szCs w:val="26"/>
          <w:rtl/>
        </w:rPr>
        <w:t>הסעיף מהווה מעשה חקיקה המבקש ליצור הסדר שלם וייחודי הקובע מס נוסף על כלל הרווחים שהתקבלו בשנת המס למי שהכנסתו החייבת באותה שנה מכלל המקורות עלתה על הסף הקבוע בסעיף</w:t>
      </w:r>
      <w:r w:rsidRPr="00D414B5">
        <w:rPr>
          <w:rStyle w:val="default"/>
          <w:rFonts w:ascii="David" w:hAnsi="David" w:cs="David"/>
          <w:b/>
          <w:bCs/>
          <w:sz w:val="26"/>
          <w:szCs w:val="26"/>
        </w:rPr>
        <w:t>."</w:t>
      </w:r>
    </w:p>
    <w:p w14:paraId="0FF1CEC3" w14:textId="77777777" w:rsidR="00703B47" w:rsidRDefault="00703B47" w:rsidP="00703B47">
      <w:pPr>
        <w:pStyle w:val="ae"/>
        <w:widowControl w:val="0"/>
        <w:bidi/>
        <w:spacing w:after="360" w:line="360" w:lineRule="auto"/>
        <w:ind w:left="1080"/>
        <w:jc w:val="both"/>
        <w:rPr>
          <w:rFonts w:ascii="David" w:hAnsi="David" w:cs="David"/>
          <w:sz w:val="26"/>
          <w:szCs w:val="26"/>
          <w:lang w:bidi="he-IL"/>
        </w:rPr>
      </w:pPr>
    </w:p>
    <w:p w14:paraId="4A95BCA0" w14:textId="77777777" w:rsidR="00703B47" w:rsidRDefault="0049437F" w:rsidP="00703B47">
      <w:pPr>
        <w:pStyle w:val="ae"/>
        <w:widowControl w:val="0"/>
        <w:numPr>
          <w:ilvl w:val="0"/>
          <w:numId w:val="2"/>
        </w:numPr>
        <w:bidi/>
        <w:spacing w:after="360" w:line="360" w:lineRule="auto"/>
        <w:jc w:val="both"/>
        <w:rPr>
          <w:rFonts w:ascii="David" w:hAnsi="David" w:cs="David"/>
          <w:sz w:val="26"/>
          <w:szCs w:val="26"/>
          <w:lang w:bidi="he-IL"/>
        </w:rPr>
      </w:pPr>
      <w:r>
        <w:rPr>
          <w:rFonts w:ascii="David" w:hAnsi="David" w:cs="David" w:hint="cs"/>
          <w:sz w:val="26"/>
          <w:szCs w:val="26"/>
          <w:rtl/>
          <w:lang w:bidi="he-IL"/>
        </w:rPr>
        <w:t>לאור האמור, מצאתי לדחות את עמדת המערער בנוגע לתשלום מס היסף בהתאם להוראות סעיף 121ב' לפקודה.</w:t>
      </w:r>
    </w:p>
    <w:p w14:paraId="6D720FED" w14:textId="77777777" w:rsidR="0049437F" w:rsidRPr="007021DB" w:rsidRDefault="0049437F" w:rsidP="0049437F">
      <w:pPr>
        <w:pStyle w:val="ae"/>
        <w:widowControl w:val="0"/>
        <w:bidi/>
        <w:spacing w:after="360" w:line="360" w:lineRule="auto"/>
        <w:ind w:left="1080"/>
        <w:jc w:val="both"/>
        <w:rPr>
          <w:rFonts w:ascii="David" w:hAnsi="David" w:cs="David"/>
          <w:sz w:val="26"/>
          <w:szCs w:val="26"/>
          <w:lang w:bidi="he-IL"/>
        </w:rPr>
      </w:pPr>
    </w:p>
    <w:p w14:paraId="4BD9F414" w14:textId="77777777" w:rsidR="007021DB" w:rsidRPr="007021DB" w:rsidRDefault="007021DB" w:rsidP="007021DB">
      <w:pPr>
        <w:pStyle w:val="ae"/>
        <w:widowControl w:val="0"/>
        <w:numPr>
          <w:ilvl w:val="0"/>
          <w:numId w:val="1"/>
        </w:numPr>
        <w:bidi/>
        <w:spacing w:after="360" w:line="360" w:lineRule="auto"/>
        <w:jc w:val="both"/>
        <w:rPr>
          <w:rFonts w:ascii="David" w:hAnsi="David" w:cs="David"/>
          <w:sz w:val="26"/>
          <w:szCs w:val="26"/>
          <w:lang w:bidi="he-IL"/>
        </w:rPr>
      </w:pPr>
      <w:r w:rsidRPr="007021DB">
        <w:rPr>
          <w:rFonts w:ascii="David" w:hAnsi="David" w:cs="David"/>
          <w:b/>
          <w:bCs/>
          <w:sz w:val="26"/>
          <w:szCs w:val="26"/>
          <w:u w:val="single"/>
          <w:rtl/>
          <w:lang w:bidi="he-IL"/>
        </w:rPr>
        <w:t>סוף דבר</w:t>
      </w:r>
    </w:p>
    <w:p w14:paraId="03757C36" w14:textId="77777777" w:rsidR="007021DB" w:rsidRPr="007021DB" w:rsidRDefault="0049437F" w:rsidP="0049437F">
      <w:pPr>
        <w:pStyle w:val="ae"/>
        <w:widowControl w:val="0"/>
        <w:numPr>
          <w:ilvl w:val="0"/>
          <w:numId w:val="2"/>
        </w:numPr>
        <w:bidi/>
        <w:spacing w:after="360" w:line="360" w:lineRule="auto"/>
        <w:jc w:val="both"/>
        <w:rPr>
          <w:rFonts w:ascii="David" w:hAnsi="David" w:cs="David"/>
          <w:sz w:val="26"/>
          <w:szCs w:val="26"/>
        </w:rPr>
      </w:pPr>
      <w:r>
        <w:rPr>
          <w:rFonts w:ascii="David" w:hAnsi="David" w:cs="David" w:hint="cs"/>
          <w:sz w:val="26"/>
          <w:szCs w:val="26"/>
          <w:rtl/>
          <w:lang w:bidi="he-IL"/>
        </w:rPr>
        <w:t>לאור כל האמור לעיל</w:t>
      </w:r>
      <w:r w:rsidR="007021DB" w:rsidRPr="007021DB">
        <w:rPr>
          <w:rFonts w:ascii="David" w:hAnsi="David" w:cs="David"/>
          <w:sz w:val="26"/>
          <w:szCs w:val="26"/>
          <w:rtl/>
          <w:lang w:bidi="he-IL"/>
        </w:rPr>
        <w:t xml:space="preserve">, </w:t>
      </w:r>
      <w:r w:rsidR="007021DB" w:rsidRPr="007021DB">
        <w:rPr>
          <w:rFonts w:ascii="David" w:hAnsi="David" w:cs="David"/>
          <w:bCs/>
          <w:sz w:val="26"/>
          <w:szCs w:val="26"/>
          <w:u w:val="single"/>
          <w:rtl/>
          <w:lang w:bidi="he-IL"/>
        </w:rPr>
        <w:t xml:space="preserve">הערעור </w:t>
      </w:r>
      <w:r>
        <w:rPr>
          <w:rFonts w:ascii="David" w:hAnsi="David" w:cs="David" w:hint="cs"/>
          <w:bCs/>
          <w:sz w:val="26"/>
          <w:szCs w:val="26"/>
          <w:u w:val="single"/>
          <w:rtl/>
          <w:lang w:bidi="he-IL"/>
        </w:rPr>
        <w:t>נדחה</w:t>
      </w:r>
      <w:r w:rsidR="007021DB" w:rsidRPr="007021DB">
        <w:rPr>
          <w:rFonts w:ascii="David" w:hAnsi="David" w:cs="David"/>
          <w:sz w:val="26"/>
          <w:szCs w:val="26"/>
          <w:rtl/>
          <w:lang w:bidi="he-IL"/>
        </w:rPr>
        <w:t xml:space="preserve">. </w:t>
      </w:r>
    </w:p>
    <w:p w14:paraId="4D2AC808" w14:textId="77777777" w:rsidR="007021DB" w:rsidRPr="007021DB" w:rsidRDefault="007021DB" w:rsidP="007021DB">
      <w:pPr>
        <w:pStyle w:val="ae"/>
        <w:widowControl w:val="0"/>
        <w:bidi/>
        <w:spacing w:after="360" w:line="360" w:lineRule="auto"/>
        <w:ind w:left="1080"/>
        <w:jc w:val="both"/>
        <w:rPr>
          <w:rFonts w:ascii="David" w:hAnsi="David" w:cs="David"/>
          <w:sz w:val="26"/>
          <w:szCs w:val="26"/>
        </w:rPr>
      </w:pPr>
    </w:p>
    <w:p w14:paraId="7D48BF62" w14:textId="77777777" w:rsidR="007021DB" w:rsidRPr="007021DB" w:rsidRDefault="007021DB" w:rsidP="0049437F">
      <w:pPr>
        <w:pStyle w:val="ae"/>
        <w:widowControl w:val="0"/>
        <w:numPr>
          <w:ilvl w:val="0"/>
          <w:numId w:val="2"/>
        </w:numPr>
        <w:bidi/>
        <w:spacing w:after="360" w:line="360" w:lineRule="auto"/>
        <w:jc w:val="both"/>
        <w:rPr>
          <w:rFonts w:ascii="David" w:hAnsi="David" w:cs="David"/>
          <w:sz w:val="26"/>
          <w:szCs w:val="26"/>
          <w:rtl/>
        </w:rPr>
      </w:pPr>
      <w:r w:rsidRPr="007021DB">
        <w:rPr>
          <w:rFonts w:ascii="David" w:hAnsi="David" w:cs="David"/>
          <w:sz w:val="26"/>
          <w:szCs w:val="26"/>
          <w:rtl/>
          <w:lang w:bidi="he-IL"/>
        </w:rPr>
        <w:lastRenderedPageBreak/>
        <w:t>לאור התוצאה</w:t>
      </w:r>
      <w:r w:rsidRPr="007021DB">
        <w:rPr>
          <w:rFonts w:ascii="David" w:hAnsi="David" w:cs="David"/>
          <w:sz w:val="26"/>
          <w:szCs w:val="26"/>
          <w:rtl/>
        </w:rPr>
        <w:t xml:space="preserve">, </w:t>
      </w:r>
      <w:r w:rsidRPr="007021DB">
        <w:rPr>
          <w:rFonts w:ascii="David" w:hAnsi="David" w:cs="David"/>
          <w:sz w:val="26"/>
          <w:szCs w:val="26"/>
          <w:rtl/>
          <w:lang w:bidi="he-IL"/>
        </w:rPr>
        <w:t xml:space="preserve">המערער ישלם למשיב הוצאות ושכר טרחת </w:t>
      </w:r>
      <w:proofErr w:type="spellStart"/>
      <w:r w:rsidRPr="007021DB">
        <w:rPr>
          <w:rFonts w:ascii="David" w:hAnsi="David" w:cs="David"/>
          <w:sz w:val="26"/>
          <w:szCs w:val="26"/>
          <w:rtl/>
          <w:lang w:bidi="he-IL"/>
        </w:rPr>
        <w:t>עו</w:t>
      </w:r>
      <w:proofErr w:type="spellEnd"/>
      <w:r w:rsidRPr="007021DB">
        <w:rPr>
          <w:rFonts w:ascii="David" w:hAnsi="David" w:cs="David"/>
          <w:sz w:val="26"/>
          <w:szCs w:val="26"/>
          <w:rtl/>
        </w:rPr>
        <w:t>"</w:t>
      </w:r>
      <w:r w:rsidRPr="007021DB">
        <w:rPr>
          <w:rFonts w:ascii="David" w:hAnsi="David" w:cs="David"/>
          <w:sz w:val="26"/>
          <w:szCs w:val="26"/>
          <w:rtl/>
          <w:lang w:bidi="he-IL"/>
        </w:rPr>
        <w:t xml:space="preserve">ד בסכום כולל של </w:t>
      </w:r>
      <w:r w:rsidR="0049437F">
        <w:rPr>
          <w:rFonts w:ascii="David" w:hAnsi="David" w:cs="David" w:hint="cs"/>
          <w:sz w:val="26"/>
          <w:szCs w:val="26"/>
          <w:rtl/>
          <w:lang w:bidi="he-IL"/>
        </w:rPr>
        <w:t>30</w:t>
      </w:r>
      <w:r w:rsidRPr="007021DB">
        <w:rPr>
          <w:rFonts w:ascii="David" w:hAnsi="David" w:cs="David"/>
          <w:sz w:val="26"/>
          <w:szCs w:val="26"/>
          <w:rtl/>
          <w:lang w:bidi="he-IL"/>
        </w:rPr>
        <w:t xml:space="preserve">,000 ₪ וזאת </w:t>
      </w:r>
      <w:r w:rsidR="0049437F">
        <w:rPr>
          <w:rFonts w:ascii="David" w:hAnsi="David" w:cs="David" w:hint="cs"/>
          <w:sz w:val="26"/>
          <w:szCs w:val="26"/>
          <w:rtl/>
          <w:lang w:bidi="he-IL"/>
        </w:rPr>
        <w:t>;תוך 45 ימים מהיום</w:t>
      </w:r>
      <w:r w:rsidRPr="007021DB">
        <w:rPr>
          <w:rFonts w:ascii="David" w:hAnsi="David" w:cs="David"/>
          <w:sz w:val="26"/>
          <w:szCs w:val="26"/>
          <w:rtl/>
        </w:rPr>
        <w:t xml:space="preserve">. </w:t>
      </w:r>
      <w:r w:rsidRPr="007021DB">
        <w:rPr>
          <w:rFonts w:ascii="David" w:hAnsi="David" w:cs="David"/>
          <w:sz w:val="26"/>
          <w:szCs w:val="26"/>
          <w:rtl/>
          <w:lang w:bidi="he-IL"/>
        </w:rPr>
        <w:t>לאחר מכן, יתווספו לסכום החיוב הפרשי הצמדה וריבית כחוק</w:t>
      </w:r>
      <w:r w:rsidRPr="007021DB">
        <w:rPr>
          <w:rFonts w:ascii="David" w:hAnsi="David" w:cs="David"/>
          <w:sz w:val="26"/>
          <w:szCs w:val="26"/>
          <w:rtl/>
        </w:rPr>
        <w:t xml:space="preserve">, </w:t>
      </w:r>
      <w:r w:rsidRPr="007021DB">
        <w:rPr>
          <w:rFonts w:ascii="David" w:hAnsi="David" w:cs="David"/>
          <w:sz w:val="26"/>
          <w:szCs w:val="26"/>
          <w:rtl/>
          <w:lang w:bidi="he-IL"/>
        </w:rPr>
        <w:t>עד למועד התשלום בפועל</w:t>
      </w:r>
      <w:r w:rsidRPr="007021DB">
        <w:rPr>
          <w:rFonts w:ascii="David" w:hAnsi="David" w:cs="David"/>
          <w:sz w:val="26"/>
          <w:szCs w:val="26"/>
          <w:rtl/>
        </w:rPr>
        <w:t xml:space="preserve">. </w:t>
      </w:r>
    </w:p>
    <w:p w14:paraId="6AE302B1" w14:textId="77777777" w:rsidR="007021DB" w:rsidRPr="007021DB" w:rsidRDefault="007021DB" w:rsidP="007021DB">
      <w:pPr>
        <w:pStyle w:val="ae"/>
        <w:rPr>
          <w:rFonts w:ascii="David" w:hAnsi="David" w:cs="David"/>
          <w:sz w:val="26"/>
          <w:szCs w:val="26"/>
        </w:rPr>
      </w:pPr>
    </w:p>
    <w:p w14:paraId="21EB3651" w14:textId="77777777" w:rsidR="007021DB" w:rsidRDefault="007021DB" w:rsidP="007021DB">
      <w:pPr>
        <w:spacing w:line="360" w:lineRule="auto"/>
        <w:ind w:left="1440" w:hanging="720"/>
        <w:jc w:val="both"/>
        <w:rPr>
          <w:rFonts w:ascii="David" w:hAnsi="David"/>
          <w:b/>
          <w:bCs/>
          <w:sz w:val="26"/>
          <w:szCs w:val="26"/>
          <w:rtl/>
        </w:rPr>
      </w:pPr>
      <w:r w:rsidRPr="007021DB">
        <w:rPr>
          <w:rFonts w:ascii="David" w:hAnsi="David"/>
          <w:b/>
          <w:bCs/>
          <w:sz w:val="26"/>
          <w:szCs w:val="26"/>
          <w:rtl/>
        </w:rPr>
        <w:t xml:space="preserve">המזכירות תשלח את פסק הדין לב"כ הצדדים. </w:t>
      </w:r>
    </w:p>
    <w:p w14:paraId="578F7832" w14:textId="77777777" w:rsidR="00C771CD" w:rsidRPr="007021DB" w:rsidRDefault="00C771CD" w:rsidP="007021DB">
      <w:pPr>
        <w:spacing w:line="360" w:lineRule="auto"/>
        <w:ind w:left="1440" w:hanging="720"/>
        <w:jc w:val="both"/>
        <w:rPr>
          <w:rFonts w:ascii="David" w:hAnsi="David"/>
          <w:b/>
          <w:bCs/>
          <w:sz w:val="26"/>
          <w:szCs w:val="26"/>
          <w:rtl/>
        </w:rPr>
      </w:pPr>
    </w:p>
    <w:p w14:paraId="36030DE7" w14:textId="77777777" w:rsidR="007021DB" w:rsidRPr="007021DB" w:rsidRDefault="007021DB" w:rsidP="007021DB">
      <w:pPr>
        <w:spacing w:line="360" w:lineRule="auto"/>
        <w:ind w:left="1440" w:hanging="720"/>
        <w:jc w:val="both"/>
        <w:rPr>
          <w:rFonts w:ascii="David" w:hAnsi="David"/>
          <w:sz w:val="26"/>
          <w:szCs w:val="26"/>
          <w:rtl/>
        </w:rPr>
      </w:pPr>
      <w:r w:rsidRPr="007021DB">
        <w:rPr>
          <w:rFonts w:ascii="David" w:hAnsi="David"/>
          <w:sz w:val="26"/>
          <w:szCs w:val="26"/>
          <w:rtl/>
        </w:rPr>
        <w:t>ניתן לפרסם את פסק הדין</w:t>
      </w:r>
      <w:r w:rsidR="0012710D">
        <w:rPr>
          <w:rFonts w:ascii="David" w:hAnsi="David" w:hint="cs"/>
          <w:sz w:val="26"/>
          <w:szCs w:val="26"/>
          <w:rtl/>
        </w:rPr>
        <w:t xml:space="preserve"> ללא פרטי זיהוי המערער</w:t>
      </w:r>
      <w:r w:rsidRPr="007021DB">
        <w:rPr>
          <w:rFonts w:ascii="David" w:hAnsi="David"/>
          <w:sz w:val="26"/>
          <w:szCs w:val="26"/>
          <w:rtl/>
        </w:rPr>
        <w:t xml:space="preserve">. </w:t>
      </w:r>
    </w:p>
    <w:p w14:paraId="2E39146F" w14:textId="77777777" w:rsidR="007021DB" w:rsidRPr="007021DB" w:rsidRDefault="007021DB" w:rsidP="007021DB">
      <w:pPr>
        <w:spacing w:line="360" w:lineRule="auto"/>
        <w:ind w:left="1440" w:hanging="720"/>
        <w:jc w:val="both"/>
        <w:rPr>
          <w:rFonts w:ascii="David" w:hAnsi="David"/>
          <w:sz w:val="26"/>
          <w:szCs w:val="26"/>
          <w:rtl/>
        </w:rPr>
      </w:pPr>
    </w:p>
    <w:p w14:paraId="5ED1C508" w14:textId="77777777" w:rsidR="00875259" w:rsidRDefault="007021DB" w:rsidP="0049437F">
      <w:pPr>
        <w:spacing w:line="360" w:lineRule="auto"/>
        <w:ind w:left="720" w:hanging="720"/>
        <w:jc w:val="both"/>
        <w:rPr>
          <w:rFonts w:ascii="David" w:hAnsi="David"/>
          <w:sz w:val="26"/>
          <w:szCs w:val="26"/>
          <w:rtl/>
        </w:rPr>
      </w:pPr>
      <w:r w:rsidRPr="007021DB">
        <w:rPr>
          <w:rFonts w:ascii="David" w:hAnsi="David"/>
          <w:b/>
          <w:bCs/>
          <w:sz w:val="26"/>
          <w:szCs w:val="26"/>
          <w:rtl/>
        </w:rPr>
        <w:t xml:space="preserve">ניתן היום,  </w:t>
      </w:r>
      <w:r w:rsidR="0049437F">
        <w:rPr>
          <w:rFonts w:ascii="David" w:hAnsi="David" w:hint="cs"/>
          <w:b/>
          <w:bCs/>
          <w:sz w:val="26"/>
          <w:szCs w:val="26"/>
          <w:rtl/>
        </w:rPr>
        <w:t>ד</w:t>
      </w:r>
      <w:r w:rsidRPr="007021DB">
        <w:rPr>
          <w:rFonts w:ascii="David" w:hAnsi="David"/>
          <w:b/>
          <w:bCs/>
          <w:sz w:val="26"/>
          <w:szCs w:val="26"/>
          <w:rtl/>
        </w:rPr>
        <w:t>' בכסלו התשפ"ג, 2</w:t>
      </w:r>
      <w:r w:rsidR="0049437F">
        <w:rPr>
          <w:rFonts w:ascii="David" w:hAnsi="David" w:hint="cs"/>
          <w:b/>
          <w:bCs/>
          <w:sz w:val="26"/>
          <w:szCs w:val="26"/>
          <w:rtl/>
        </w:rPr>
        <w:t>8</w:t>
      </w:r>
      <w:r w:rsidRPr="007021DB">
        <w:rPr>
          <w:rFonts w:ascii="David" w:hAnsi="David"/>
          <w:b/>
          <w:bCs/>
          <w:sz w:val="26"/>
          <w:szCs w:val="26"/>
          <w:rtl/>
        </w:rPr>
        <w:t xml:space="preserve"> בנובמבר 2022, בהעדר הצדדים.</w:t>
      </w:r>
    </w:p>
    <w:p w14:paraId="3080B486" w14:textId="77777777" w:rsidR="007021DB" w:rsidRPr="007021DB" w:rsidRDefault="003319D9" w:rsidP="00875259">
      <w:pPr>
        <w:spacing w:line="360" w:lineRule="auto"/>
        <w:ind w:left="720" w:hanging="720"/>
        <w:jc w:val="both"/>
      </w:pPr>
      <w:sdt>
        <w:sdtPr>
          <w:rPr>
            <w:rtl/>
          </w:rPr>
          <w:alias w:val="MergeField"/>
          <w:tag w:val="1237"/>
          <w:id w:val="-1514145075"/>
        </w:sdtPr>
        <w:sdtEndPr/>
        <w:sdtContent>
          <w:r w:rsidR="009A3A53">
            <w:drawing>
              <wp:inline distT="0" distB="0" distL="0" distR="0" wp14:anchorId="26F9C5F9" wp14:editId="572CB0CE">
                <wp:extent cx="1514475"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37.jpg"/>
                        <pic:cNvPicPr/>
                      </pic:nvPicPr>
                      <pic:blipFill>
                        <a:blip r:embed="rId8" cstate="print"/>
                        <a:stretch>
                          <a:fillRect/>
                        </a:stretch>
                      </pic:blipFill>
                      <pic:spPr>
                        <a:xfrm>
                          <a:off x="0" y="0"/>
                          <a:ext cx="1514475" cy="742950"/>
                        </a:xfrm>
                        <a:prstGeom prst="rect">
                          <a:avLst/>
                        </a:prstGeom>
                      </pic:spPr>
                    </pic:pic>
                  </a:graphicData>
                </a:graphic>
              </wp:inline>
            </w:drawing>
          </w:r>
        </w:sdtContent>
      </w:sdt>
    </w:p>
    <w:p w14:paraId="549A52BE" w14:textId="77777777" w:rsidR="007021DB" w:rsidRPr="007021DB" w:rsidRDefault="007021DB" w:rsidP="00875259">
      <w:pPr>
        <w:spacing w:line="360" w:lineRule="auto"/>
        <w:ind w:left="720" w:hanging="720"/>
        <w:jc w:val="both"/>
        <w:rPr>
          <w:rFonts w:ascii="David" w:hAnsi="David"/>
          <w:sz w:val="26"/>
          <w:szCs w:val="26"/>
          <w:rtl/>
        </w:rPr>
      </w:pPr>
    </w:p>
    <w:p w14:paraId="3F65299A" w14:textId="77777777" w:rsidR="00694556" w:rsidRPr="007021DB" w:rsidRDefault="00694556" w:rsidP="007021DB">
      <w:pPr>
        <w:rPr>
          <w:rFonts w:ascii="David" w:hAnsi="David"/>
          <w:sz w:val="26"/>
          <w:szCs w:val="26"/>
        </w:rPr>
      </w:pPr>
    </w:p>
    <w:sectPr w:rsidR="00694556" w:rsidRPr="007021DB" w:rsidSect="00903896">
      <w:headerReference w:type="even" r:id="rId9"/>
      <w:headerReference w:type="default" r:id="rId10"/>
      <w:footerReference w:type="even" r:id="rId11"/>
      <w:footerReference w:type="default" r:id="rId12"/>
      <w:headerReference w:type="first" r:id="rId13"/>
      <w:footerReference w:type="first" r:id="rId14"/>
      <w:pgSz w:w="11907" w:h="16840" w:code="9"/>
      <w:pgMar w:top="720" w:right="1701" w:bottom="1134" w:left="1701" w:header="720" w:footer="737" w:gutter="0"/>
      <w:lnNumType w:countBy="1"/>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5E364" w14:textId="77777777" w:rsidR="00705692" w:rsidRDefault="00705692">
      <w:r>
        <w:separator/>
      </w:r>
    </w:p>
  </w:endnote>
  <w:endnote w:type="continuationSeparator" w:id="0">
    <w:p w14:paraId="301CE46D" w14:textId="77777777" w:rsidR="00705692" w:rsidRDefault="0070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altName w:val="Malgun Gothic Semilight"/>
    <w:charset w:val="B1"/>
    <w:family w:val="swiss"/>
    <w:pitch w:val="variable"/>
    <w:sig w:usb0="00000803" w:usb1="00000000" w:usb2="00000000" w:usb3="00000000" w:csb0="00000021" w:csb1="00000000"/>
  </w:font>
  <w:font w:name="Narkisim">
    <w:altName w:val="Malgun Gothic Semilight"/>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91A91" w14:textId="77777777" w:rsidR="00B63945" w:rsidRDefault="00B639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0695E" w14:textId="77777777" w:rsidR="00694556" w:rsidRPr="004E6E3C" w:rsidRDefault="003944DB">
    <w:pPr>
      <w:pStyle w:val="a5"/>
      <w:jc w:val="center"/>
      <w:rPr>
        <w:rStyle w:val="ac"/>
      </w:rPr>
    </w:pPr>
    <w:r w:rsidRPr="004E6E3C">
      <w:rPr>
        <w:rStyle w:val="ac"/>
        <w:rFonts w:cs="Times New Roman"/>
      </w:rPr>
      <w:fldChar w:fldCharType="begin"/>
    </w:r>
    <w:r w:rsidR="00005C8B" w:rsidRPr="004E6E3C">
      <w:rPr>
        <w:rStyle w:val="ac"/>
        <w:rFonts w:cs="Times New Roman"/>
      </w:rPr>
      <w:instrText xml:space="preserve"> PAGE </w:instrText>
    </w:r>
    <w:r w:rsidRPr="004E6E3C">
      <w:rPr>
        <w:rStyle w:val="ac"/>
        <w:rFonts w:cs="Times New Roman"/>
      </w:rPr>
      <w:fldChar w:fldCharType="separate"/>
    </w:r>
    <w:r w:rsidR="00B63945">
      <w:rPr>
        <w:rStyle w:val="ac"/>
        <w:rFonts w:cs="Times New Roman"/>
        <w:rtl/>
      </w:rPr>
      <w:t>1</w:t>
    </w:r>
    <w:r w:rsidRPr="004E6E3C">
      <w:rPr>
        <w:rStyle w:val="ac"/>
        <w:rFonts w:cs="Times New Roman"/>
      </w:rPr>
      <w:fldChar w:fldCharType="end"/>
    </w:r>
    <w:r w:rsidR="00005C8B" w:rsidRPr="004E6E3C">
      <w:rPr>
        <w:rStyle w:val="ac"/>
        <w:rFonts w:hint="cs"/>
        <w:rtl/>
      </w:rPr>
      <w:t xml:space="preserve"> מתוך </w:t>
    </w:r>
    <w:r w:rsidRPr="004E6E3C">
      <w:rPr>
        <w:rStyle w:val="ac"/>
      </w:rPr>
      <w:fldChar w:fldCharType="begin"/>
    </w:r>
    <w:r w:rsidR="00005C8B" w:rsidRPr="004E6E3C">
      <w:rPr>
        <w:rStyle w:val="ac"/>
      </w:rPr>
      <w:instrText xml:space="preserve"> NUMPAGES </w:instrText>
    </w:r>
    <w:r w:rsidRPr="004E6E3C">
      <w:rPr>
        <w:rStyle w:val="ac"/>
      </w:rPr>
      <w:fldChar w:fldCharType="separate"/>
    </w:r>
    <w:r w:rsidR="00B63945">
      <w:rPr>
        <w:rStyle w:val="ac"/>
        <w:rtl/>
      </w:rPr>
      <w:t>22</w:t>
    </w:r>
    <w:r w:rsidRPr="004E6E3C">
      <w:rPr>
        <w:rStyle w:val="ac"/>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1550" w14:textId="77777777" w:rsidR="00B63945" w:rsidRDefault="00B639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F0416" w14:textId="77777777" w:rsidR="00705692" w:rsidRDefault="00705692">
      <w:r>
        <w:separator/>
      </w:r>
    </w:p>
  </w:footnote>
  <w:footnote w:type="continuationSeparator" w:id="0">
    <w:p w14:paraId="1681FD0C" w14:textId="77777777" w:rsidR="00705692" w:rsidRDefault="00705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9C937" w14:textId="77777777" w:rsidR="00B63945" w:rsidRDefault="00B6394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88990" w14:textId="77777777" w:rsidR="007021DB" w:rsidRDefault="007021DB" w:rsidP="007021DB">
    <w:pPr>
      <w:pStyle w:val="a3"/>
      <w:jc w:val="center"/>
      <w:rPr>
        <w:rFonts w:ascii="David" w:hAnsi="David"/>
        <w:noProof w:val="0"/>
      </w:rPr>
    </w:pPr>
    <w:r>
      <w:rPr>
        <w:rFonts w:ascii="David" w:hAnsi="David"/>
      </w:rPr>
      <w:drawing>
        <wp:inline distT="0" distB="0" distL="0" distR="0" wp14:anchorId="5F6C2A13" wp14:editId="53971423">
          <wp:extent cx="374015" cy="469265"/>
          <wp:effectExtent l="0" t="0" r="6985" b="6985"/>
          <wp:docPr id="3" name="תמונה 3"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469265"/>
                  </a:xfrm>
                  <a:prstGeom prst="rect">
                    <a:avLst/>
                  </a:prstGeom>
                  <a:noFill/>
                  <a:ln>
                    <a:noFill/>
                  </a:ln>
                </pic:spPr>
              </pic:pic>
            </a:graphicData>
          </a:graphic>
        </wp:inline>
      </w:drawing>
    </w:r>
  </w:p>
  <w:tbl>
    <w:tblPr>
      <w:bidiVisual/>
      <w:tblW w:w="0" w:type="auto"/>
      <w:jc w:val="center"/>
      <w:tblLook w:val="04A0" w:firstRow="1" w:lastRow="0" w:firstColumn="1" w:lastColumn="0" w:noHBand="0" w:noVBand="1"/>
    </w:tblPr>
    <w:tblGrid>
      <w:gridCol w:w="4809"/>
      <w:gridCol w:w="3497"/>
    </w:tblGrid>
    <w:tr w:rsidR="007021DB" w14:paraId="7C52F12F" w14:textId="77777777" w:rsidTr="007021DB">
      <w:trPr>
        <w:trHeight w:val="418"/>
        <w:jc w:val="center"/>
      </w:trPr>
      <w:tc>
        <w:tcPr>
          <w:tcW w:w="8306" w:type="dxa"/>
          <w:gridSpan w:val="2"/>
          <w:hideMark/>
        </w:tcPr>
        <w:p w14:paraId="030238DA" w14:textId="77777777" w:rsidR="007021DB" w:rsidRPr="00875259" w:rsidRDefault="007021DB" w:rsidP="007021DB">
          <w:pPr>
            <w:pStyle w:val="a3"/>
            <w:spacing w:line="256" w:lineRule="auto"/>
            <w:jc w:val="center"/>
            <w:rPr>
              <w:rFonts w:ascii="David" w:hAnsi="David"/>
              <w:color w:val="000080"/>
              <w:sz w:val="32"/>
              <w:szCs w:val="32"/>
            </w:rPr>
          </w:pPr>
          <w:r w:rsidRPr="00875259">
            <w:rPr>
              <w:rFonts w:ascii="David" w:hAnsi="David"/>
              <w:b/>
              <w:bCs/>
              <w:color w:val="000080"/>
              <w:sz w:val="32"/>
              <w:szCs w:val="32"/>
              <w:rtl/>
            </w:rPr>
            <w:t>בית המשפט המחוזי בירושלים</w:t>
          </w:r>
        </w:p>
        <w:p w14:paraId="074BA704" w14:textId="77777777" w:rsidR="007021DB" w:rsidRDefault="007021DB" w:rsidP="007021DB">
          <w:pPr>
            <w:pStyle w:val="a3"/>
            <w:spacing w:line="256" w:lineRule="auto"/>
            <w:jc w:val="center"/>
            <w:rPr>
              <w:rFonts w:ascii="David" w:hAnsi="David"/>
              <w:bCs/>
              <w:color w:val="000080"/>
              <w:rtl/>
            </w:rPr>
          </w:pPr>
          <w:r w:rsidRPr="00875259">
            <w:rPr>
              <w:rFonts w:ascii="David" w:hAnsi="David"/>
              <w:bCs/>
              <w:color w:val="000080"/>
              <w:sz w:val="32"/>
              <w:szCs w:val="32"/>
              <w:rtl/>
            </w:rPr>
            <w:t>לפני כב' השופט אביגדור דורות</w:t>
          </w:r>
        </w:p>
      </w:tc>
    </w:tr>
    <w:tr w:rsidR="007021DB" w14:paraId="1E7DCC1E" w14:textId="77777777" w:rsidTr="007021DB">
      <w:trPr>
        <w:trHeight w:val="337"/>
        <w:jc w:val="center"/>
      </w:trPr>
      <w:tc>
        <w:tcPr>
          <w:tcW w:w="4809" w:type="dxa"/>
        </w:tcPr>
        <w:p w14:paraId="14FB99C5" w14:textId="77777777" w:rsidR="007021DB" w:rsidRDefault="007021DB" w:rsidP="007021DB">
          <w:pPr>
            <w:rPr>
              <w:rFonts w:ascii="David" w:hAnsi="David"/>
              <w:b/>
              <w:bCs/>
              <w:rtl/>
              <w:lang w:bidi="ar-SA"/>
            </w:rPr>
          </w:pPr>
        </w:p>
      </w:tc>
      <w:tc>
        <w:tcPr>
          <w:tcW w:w="3497" w:type="dxa"/>
        </w:tcPr>
        <w:p w14:paraId="1346CEF2" w14:textId="77777777" w:rsidR="007021DB" w:rsidRDefault="007021DB" w:rsidP="007021DB">
          <w:pPr>
            <w:pStyle w:val="a3"/>
            <w:spacing w:line="256" w:lineRule="auto"/>
            <w:jc w:val="right"/>
            <w:rPr>
              <w:rFonts w:ascii="David" w:hAnsi="David"/>
              <w:b/>
              <w:bCs/>
              <w:rtl/>
            </w:rPr>
          </w:pPr>
        </w:p>
      </w:tc>
    </w:tr>
    <w:tr w:rsidR="007021DB" w:rsidRPr="007021DB" w14:paraId="062C9C41" w14:textId="77777777" w:rsidTr="007021DB">
      <w:trPr>
        <w:trHeight w:val="337"/>
        <w:jc w:val="center"/>
      </w:trPr>
      <w:tc>
        <w:tcPr>
          <w:tcW w:w="8306" w:type="dxa"/>
          <w:gridSpan w:val="2"/>
          <w:hideMark/>
        </w:tcPr>
        <w:p w14:paraId="5B0C6932" w14:textId="77777777" w:rsidR="007021DB" w:rsidRPr="007021DB" w:rsidRDefault="007021DB" w:rsidP="0012710D">
          <w:pPr>
            <w:rPr>
              <w:rFonts w:ascii="David" w:hAnsi="David"/>
              <w:b/>
              <w:bCs/>
              <w:sz w:val="26"/>
              <w:szCs w:val="26"/>
              <w:rtl/>
            </w:rPr>
          </w:pPr>
          <w:r w:rsidRPr="007021DB">
            <w:rPr>
              <w:rFonts w:ascii="David" w:hAnsi="David"/>
              <w:b/>
              <w:bCs/>
              <w:sz w:val="26"/>
              <w:szCs w:val="26"/>
              <w:rtl/>
            </w:rPr>
            <w:t xml:space="preserve">ע"מ 57600-04-18 </w:t>
          </w:r>
          <w:r w:rsidR="0012710D">
            <w:rPr>
              <w:rFonts w:ascii="David" w:hAnsi="David" w:hint="cs"/>
              <w:b/>
              <w:bCs/>
              <w:sz w:val="26"/>
              <w:szCs w:val="26"/>
              <w:rtl/>
            </w:rPr>
            <w:t>פלוני</w:t>
          </w:r>
          <w:r w:rsidRPr="007021DB">
            <w:rPr>
              <w:rFonts w:ascii="David" w:hAnsi="David"/>
              <w:b/>
              <w:bCs/>
              <w:sz w:val="26"/>
              <w:szCs w:val="26"/>
              <w:rtl/>
            </w:rPr>
            <w:t xml:space="preserve"> נ' פקיד שומה אוטונומיה</w:t>
          </w:r>
          <w:r w:rsidR="00ED2D58">
            <w:rPr>
              <w:rFonts w:ascii="David" w:hAnsi="David"/>
              <w:b/>
              <w:bCs/>
              <w:sz w:val="26"/>
              <w:szCs w:val="26"/>
              <w:rtl/>
            </w:rPr>
            <w:t xml:space="preserve">                               </w:t>
          </w:r>
          <w:r w:rsidR="00ED2D58">
            <w:rPr>
              <w:rFonts w:ascii="David" w:hAnsi="David" w:hint="cs"/>
              <w:b/>
              <w:bCs/>
              <w:sz w:val="26"/>
              <w:szCs w:val="26"/>
              <w:rtl/>
            </w:rPr>
            <w:t xml:space="preserve">28 </w:t>
          </w:r>
          <w:r w:rsidRPr="007021DB">
            <w:rPr>
              <w:rFonts w:ascii="David" w:hAnsi="David"/>
              <w:b/>
              <w:bCs/>
              <w:sz w:val="26"/>
              <w:szCs w:val="26"/>
              <w:rtl/>
            </w:rPr>
            <w:t>בנובמבר 2022</w:t>
          </w:r>
        </w:p>
      </w:tc>
    </w:tr>
  </w:tbl>
  <w:p w14:paraId="78730B1A" w14:textId="77777777" w:rsidR="007021DB" w:rsidRPr="007021DB" w:rsidRDefault="007021DB" w:rsidP="007021DB">
    <w:pPr>
      <w:pStyle w:val="a3"/>
      <w:bidi w:val="0"/>
      <w:rPr>
        <w:rFonts w:ascii="David" w:hAnsi="David"/>
        <w:sz w:val="26"/>
        <w:szCs w:val="26"/>
        <w:rtl/>
        <w:lang w:bidi="ar-SA"/>
      </w:rPr>
    </w:pPr>
  </w:p>
  <w:p w14:paraId="707DEC10" w14:textId="77777777" w:rsidR="007021DB" w:rsidRDefault="007021DB" w:rsidP="007021DB">
    <w:pPr>
      <w:pStyle w:val="a3"/>
      <w:bidi w:val="0"/>
      <w:rPr>
        <w:rFonts w:asciiTheme="minorHAnsi" w:hAnsiTheme="minorHAnsi" w:cstheme="minorBidi"/>
        <w:sz w:val="22"/>
        <w:szCs w:val="22"/>
      </w:rPr>
    </w:pPr>
  </w:p>
  <w:p w14:paraId="29D61953" w14:textId="77777777" w:rsidR="00694556" w:rsidRPr="007021DB" w:rsidRDefault="00694556" w:rsidP="007021DB">
    <w:pPr>
      <w:pStyle w:val="a3"/>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2CBA1" w14:textId="77777777" w:rsidR="00B63945" w:rsidRDefault="00B6394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3EB9"/>
    <w:multiLevelType w:val="hybridMultilevel"/>
    <w:tmpl w:val="14CC195A"/>
    <w:lvl w:ilvl="0" w:tplc="0D9A47DC">
      <w:start w:val="1"/>
      <w:numFmt w:val="hebrew1"/>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618C0E84"/>
    <w:multiLevelType w:val="hybridMultilevel"/>
    <w:tmpl w:val="924E42D6"/>
    <w:lvl w:ilvl="0" w:tplc="9B7A38BC">
      <w:start w:val="1"/>
      <w:numFmt w:val="decimal"/>
      <w:lvlText w:val="%1."/>
      <w:lvlJc w:val="left"/>
      <w:pPr>
        <w:ind w:left="1080" w:hanging="72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29408C7"/>
    <w:multiLevelType w:val="hybridMultilevel"/>
    <w:tmpl w:val="332EBFA0"/>
    <w:lvl w:ilvl="0" w:tplc="EAB49124">
      <w:start w:val="1"/>
      <w:numFmt w:val="hebrew1"/>
      <w:lvlText w:val="%1."/>
      <w:lvlJc w:val="left"/>
      <w:pPr>
        <w:ind w:left="720" w:hanging="360"/>
      </w:pPr>
      <w:rPr>
        <w:b/>
        <w:bCs/>
        <w:strike w:val="0"/>
        <w:dstrike w:val="0"/>
        <w:u w:val="none"/>
        <w:effect w:val="none"/>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692758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0746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9139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56"/>
    <w:rsid w:val="00005C8B"/>
    <w:rsid w:val="00016C35"/>
    <w:rsid w:val="000564AB"/>
    <w:rsid w:val="00060C9D"/>
    <w:rsid w:val="0012710D"/>
    <w:rsid w:val="0014234E"/>
    <w:rsid w:val="001548BD"/>
    <w:rsid w:val="00185DB8"/>
    <w:rsid w:val="001B2A7E"/>
    <w:rsid w:val="001C4003"/>
    <w:rsid w:val="002C070D"/>
    <w:rsid w:val="002C5857"/>
    <w:rsid w:val="003319D9"/>
    <w:rsid w:val="00340C5F"/>
    <w:rsid w:val="003944DB"/>
    <w:rsid w:val="00421B41"/>
    <w:rsid w:val="0049437F"/>
    <w:rsid w:val="004E6E3C"/>
    <w:rsid w:val="00547DB7"/>
    <w:rsid w:val="00622BAA"/>
    <w:rsid w:val="00625C89"/>
    <w:rsid w:val="00653C1C"/>
    <w:rsid w:val="00671BD5"/>
    <w:rsid w:val="006805C1"/>
    <w:rsid w:val="00694556"/>
    <w:rsid w:val="006B23BF"/>
    <w:rsid w:val="006E1A53"/>
    <w:rsid w:val="007021DB"/>
    <w:rsid w:val="00703B47"/>
    <w:rsid w:val="00705692"/>
    <w:rsid w:val="007056AA"/>
    <w:rsid w:val="00771E7C"/>
    <w:rsid w:val="007A24FE"/>
    <w:rsid w:val="00820005"/>
    <w:rsid w:val="00846D27"/>
    <w:rsid w:val="00875259"/>
    <w:rsid w:val="00901A97"/>
    <w:rsid w:val="00903896"/>
    <w:rsid w:val="00910591"/>
    <w:rsid w:val="00986101"/>
    <w:rsid w:val="009A3A53"/>
    <w:rsid w:val="009C4E68"/>
    <w:rsid w:val="00AF1ED6"/>
    <w:rsid w:val="00B63945"/>
    <w:rsid w:val="00B74BE1"/>
    <w:rsid w:val="00B80CBD"/>
    <w:rsid w:val="00C771CD"/>
    <w:rsid w:val="00D414B5"/>
    <w:rsid w:val="00D53924"/>
    <w:rsid w:val="00D96D8C"/>
    <w:rsid w:val="00E54642"/>
    <w:rsid w:val="00E97908"/>
    <w:rsid w:val="00ED2D58"/>
    <w:rsid w:val="00F64BC8"/>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D5B845"/>
  <w15:docId w15:val="{2F229DDA-D03D-4E45-903D-152E11EA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423"/>
    <w:pPr>
      <w:bidi/>
    </w:pPr>
    <w:rPr>
      <w:rFonts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4423"/>
    <w:pPr>
      <w:tabs>
        <w:tab w:val="center" w:pos="4153"/>
        <w:tab w:val="right" w:pos="8306"/>
      </w:tabs>
    </w:pPr>
  </w:style>
  <w:style w:type="paragraph" w:styleId="a5">
    <w:name w:val="footer"/>
    <w:basedOn w:val="a"/>
    <w:rsid w:val="00C64423"/>
    <w:pPr>
      <w:tabs>
        <w:tab w:val="center" w:pos="4153"/>
        <w:tab w:val="right" w:pos="8306"/>
      </w:tabs>
    </w:pPr>
  </w:style>
  <w:style w:type="paragraph" w:customStyle="1" w:styleId="a6">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7">
    <w:name w:val="annotation text"/>
    <w:basedOn w:val="a"/>
    <w:semiHidden/>
    <w:rsid w:val="00C64423"/>
    <w:rPr>
      <w:rFonts w:cs="Times New Roman"/>
      <w:noProof w:val="0"/>
    </w:rPr>
  </w:style>
  <w:style w:type="character" w:styleId="a8">
    <w:name w:val="annotation reference"/>
    <w:basedOn w:val="a0"/>
    <w:semiHidden/>
    <w:rsid w:val="00C64423"/>
    <w:rPr>
      <w:sz w:val="16"/>
      <w:szCs w:val="16"/>
    </w:rPr>
  </w:style>
  <w:style w:type="paragraph" w:styleId="a9">
    <w:name w:val="Balloon Text"/>
    <w:basedOn w:val="a"/>
    <w:semiHidden/>
    <w:rsid w:val="00C64423"/>
    <w:rPr>
      <w:rFonts w:ascii="Tahoma" w:hAnsi="Tahoma" w:cs="Tahoma"/>
      <w:sz w:val="16"/>
      <w:szCs w:val="16"/>
    </w:rPr>
  </w:style>
  <w:style w:type="table" w:styleId="aa">
    <w:name w:val="Table Grid"/>
    <w:basedOn w:val="a1"/>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rsid w:val="00C64423"/>
  </w:style>
  <w:style w:type="character" w:styleId="ac">
    <w:name w:val="page number"/>
    <w:basedOn w:val="a0"/>
    <w:rsid w:val="00C64423"/>
  </w:style>
  <w:style w:type="table" w:customStyle="1" w:styleId="1">
    <w:name w:val="טבלת רשת1"/>
    <w:basedOn w:val="a1"/>
    <w:next w:val="aa"/>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986101"/>
    <w:rPr>
      <w:color w:val="808080"/>
    </w:rPr>
  </w:style>
  <w:style w:type="paragraph" w:styleId="ae">
    <w:name w:val="List Paragraph"/>
    <w:basedOn w:val="a"/>
    <w:uiPriority w:val="34"/>
    <w:qFormat/>
    <w:rsid w:val="007021DB"/>
    <w:pPr>
      <w:bidi w:val="0"/>
      <w:spacing w:after="160" w:line="256" w:lineRule="auto"/>
      <w:ind w:left="720"/>
      <w:contextualSpacing/>
    </w:pPr>
    <w:rPr>
      <w:rFonts w:asciiTheme="minorHAnsi" w:eastAsiaTheme="minorHAnsi" w:hAnsiTheme="minorHAnsi" w:cstheme="minorBidi"/>
      <w:noProof w:val="0"/>
      <w:sz w:val="22"/>
      <w:szCs w:val="22"/>
      <w:lang w:bidi="ar-SA"/>
    </w:rPr>
  </w:style>
  <w:style w:type="paragraph" w:customStyle="1" w:styleId="p00">
    <w:name w:val="p00"/>
    <w:basedOn w:val="a"/>
    <w:rsid w:val="007021DB"/>
    <w:pPr>
      <w:bidi w:val="0"/>
      <w:spacing w:before="100" w:beforeAutospacing="1" w:after="100" w:afterAutospacing="1"/>
    </w:pPr>
    <w:rPr>
      <w:rFonts w:cs="Times New Roman"/>
      <w:noProof w:val="0"/>
    </w:rPr>
  </w:style>
  <w:style w:type="character" w:customStyle="1" w:styleId="default">
    <w:name w:val="default"/>
    <w:basedOn w:val="a0"/>
    <w:rsid w:val="007021DB"/>
  </w:style>
  <w:style w:type="character" w:customStyle="1" w:styleId="a4">
    <w:name w:val="כותרת עליונה תו"/>
    <w:basedOn w:val="a0"/>
    <w:link w:val="a3"/>
    <w:uiPriority w:val="99"/>
    <w:rsid w:val="007021DB"/>
    <w:rPr>
      <w:rFonts w:cs="David"/>
      <w:noProof/>
      <w:sz w:val="24"/>
      <w:szCs w:val="24"/>
    </w:rPr>
  </w:style>
  <w:style w:type="character" w:customStyle="1" w:styleId="big-number">
    <w:name w:val="big-number"/>
    <w:basedOn w:val="a0"/>
    <w:rsid w:val="001B2A7E"/>
  </w:style>
  <w:style w:type="character" w:styleId="af">
    <w:name w:val="Strong"/>
    <w:basedOn w:val="a0"/>
    <w:qFormat/>
    <w:rsid w:val="003319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442846446">
      <w:bodyDiv w:val="1"/>
      <w:marLeft w:val="0"/>
      <w:marRight w:val="0"/>
      <w:marTop w:val="0"/>
      <w:marBottom w:val="0"/>
      <w:divBdr>
        <w:top w:val="none" w:sz="0" w:space="0" w:color="auto"/>
        <w:left w:val="none" w:sz="0" w:space="0" w:color="auto"/>
        <w:bottom w:val="none" w:sz="0" w:space="0" w:color="auto"/>
        <w:right w:val="none" w:sz="0" w:space="0" w:color="auto"/>
      </w:divBdr>
    </w:div>
    <w:div w:id="1556964848">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 w:id="21325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3072</Words>
  <Characters>17512</Characters>
  <Application>Microsoft Office Word</Application>
  <DocSecurity>0</DocSecurity>
  <Lines>145</Lines>
  <Paragraphs>41</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20543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dudunyossiy@gmail.com</cp:lastModifiedBy>
  <cp:revision>2</cp:revision>
  <cp:lastPrinted>2022-11-28T07:35:00Z</cp:lastPrinted>
  <dcterms:created xsi:type="dcterms:W3CDTF">2024-10-13T07:01:00Z</dcterms:created>
  <dcterms:modified xsi:type="dcterms:W3CDTF">2024-10-13T07:01:00Z</dcterms:modified>
</cp:coreProperties>
</file>